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A2E21" w14:textId="77777777" w:rsidR="00C4386B" w:rsidRDefault="00C4386B" w:rsidP="00194A37">
      <w:pPr>
        <w:pStyle w:val="Heading1"/>
      </w:pPr>
      <w:r>
        <w:rPr>
          <w:noProof/>
          <w:lang w:bidi="ar-SA"/>
        </w:rPr>
        <w:drawing>
          <wp:inline distT="0" distB="0" distL="0" distR="0" wp14:anchorId="02449217" wp14:editId="1BA532D5">
            <wp:extent cx="2506228" cy="786473"/>
            <wp:effectExtent l="0" t="0" r="8890" b="0"/>
            <wp:docPr id="2" name="Picture 2" descr="Board of Water and Soi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ard of Water and Soil Resources Logo"/>
                    <pic:cNvPicPr/>
                  </pic:nvPicPr>
                  <pic:blipFill>
                    <a:blip r:embed="rId8">
                      <a:extLst>
                        <a:ext uri="{28A0092B-C50C-407E-A947-70E740481C1C}">
                          <a14:useLocalDpi xmlns:a14="http://schemas.microsoft.com/office/drawing/2010/main" val="0"/>
                        </a:ext>
                      </a:extLst>
                    </a:blip>
                    <a:stretch>
                      <a:fillRect/>
                    </a:stretch>
                  </pic:blipFill>
                  <pic:spPr>
                    <a:xfrm>
                      <a:off x="0" y="0"/>
                      <a:ext cx="2506228" cy="786473"/>
                    </a:xfrm>
                    <a:prstGeom prst="rect">
                      <a:avLst/>
                    </a:prstGeom>
                  </pic:spPr>
                </pic:pic>
              </a:graphicData>
            </a:graphic>
          </wp:inline>
        </w:drawing>
      </w:r>
    </w:p>
    <w:p w14:paraId="5A787AEF" w14:textId="2BE32A6E" w:rsidR="00C4386B" w:rsidRPr="005C17DF" w:rsidRDefault="00AC7DB9" w:rsidP="005C17DF">
      <w:pPr>
        <w:pStyle w:val="BWSRTitle"/>
      </w:pPr>
      <w:r>
        <w:t>PTMApp General Summary</w:t>
      </w:r>
    </w:p>
    <w:p w14:paraId="5B10FF96" w14:textId="4D4E8D7E" w:rsidR="00C4386B" w:rsidRPr="005A5A73" w:rsidRDefault="00C4386B" w:rsidP="00C4386B">
      <w:pPr>
        <w:pStyle w:val="BWSRSubtitle"/>
      </w:pPr>
      <w:bookmarkStart w:id="0" w:name="_Toc477437899"/>
      <w:r>
        <w:t>0</w:t>
      </w:r>
      <w:r w:rsidR="00AC7DB9">
        <w:t>6</w:t>
      </w:r>
      <w:r>
        <w:t>/2024</w:t>
      </w:r>
    </w:p>
    <w:bookmarkEnd w:id="0"/>
    <w:p w14:paraId="3629F263" w14:textId="77777777" w:rsidR="00C4386B" w:rsidRPr="00074A30" w:rsidRDefault="00C4386B" w:rsidP="00C4386B">
      <w:pPr>
        <w:sectPr w:rsidR="00C4386B" w:rsidRPr="00074A30" w:rsidSect="00C4386B">
          <w:footerReference w:type="default" r:id="rId9"/>
          <w:footerReference w:type="first" r:id="rId10"/>
          <w:pgSz w:w="12240" w:h="15840" w:code="1"/>
          <w:pgMar w:top="1728" w:right="1080" w:bottom="1440" w:left="1080" w:header="0" w:footer="504" w:gutter="0"/>
          <w:cols w:space="720"/>
          <w:vAlign w:val="center"/>
          <w:docGrid w:linePitch="326"/>
        </w:sectPr>
      </w:pPr>
    </w:p>
    <w:p w14:paraId="03A2BAA1" w14:textId="0F62983D" w:rsidR="00C4386B" w:rsidRDefault="00BF4B45" w:rsidP="005C17DF">
      <w:pPr>
        <w:pStyle w:val="Heading1"/>
      </w:pPr>
      <w:r>
        <w:lastRenderedPageBreak/>
        <w:t>PTMApp General Summary</w:t>
      </w:r>
    </w:p>
    <w:p w14:paraId="64B4139A" w14:textId="77777777" w:rsidR="00BF4B45" w:rsidRPr="00BF4B45" w:rsidRDefault="00BF4B45" w:rsidP="00613978">
      <w:pPr>
        <w:pStyle w:val="BWSRHeading1"/>
      </w:pPr>
      <w:r w:rsidRPr="00BF4B45">
        <w:t xml:space="preserve">PTMApp basics – </w:t>
      </w:r>
    </w:p>
    <w:p w14:paraId="6B60E15F" w14:textId="77777777" w:rsidR="00BF4B45" w:rsidRPr="00BF4B45" w:rsidRDefault="00BF4B45" w:rsidP="00BF4B45">
      <w:r w:rsidRPr="00BF4B45">
        <w:t>The Prioritize, Target, and Measure Application (PTMApp) is a largely empirical/statistical water quality tool for estimating annual landscape sediment, total phosphorus (TP), and total nitrogen (TN) yields and loading; siting locations for feasible best management practices (BMPs); estimating annual load reduction benefits of feasible BMPs; and calculating expected cost and cost-effectiveness of implemented feasible BMPs.  The model is accessible in two forms: PTMApp-desktop and PTMApp-web.  PTMApp-desktop operates as an ESRI ArcGIS Pro add-in application that is used to process input geospatial data and generate all of the output data.  PTMApp-web is a data viewer which allows for the PTMApp-desktop data to accessed and reviewed in a web-based format.</w:t>
      </w:r>
    </w:p>
    <w:p w14:paraId="2F208179" w14:textId="77777777" w:rsidR="00BF4B45" w:rsidRPr="00BF4B45" w:rsidRDefault="00BF4B45" w:rsidP="00BF4B45">
      <w:r w:rsidRPr="00BF4B45">
        <w:t xml:space="preserve">PTMApp performs many calculations by applying literature-based experimental values to landscape factors and BMP locations to approximate values for runoff, nutrient yield, and best management practice load reduction.  The tool estimates sediment, TP, and TN yields from the landscape and routes the aggregated loads overland and downstream assuming first-order, in-stream decay coefficients to provide estimates of annual loads at any specified downstream location.  </w:t>
      </w:r>
    </w:p>
    <w:p w14:paraId="4BBBEF70" w14:textId="77777777" w:rsidR="00BF4B45" w:rsidRPr="00BF4B45" w:rsidRDefault="00BF4B45" w:rsidP="00BF4B45">
      <w:r w:rsidRPr="00BF4B45">
        <w:t xml:space="preserve">Geospatial information is used in parallel with NRCS design criteria to find feasible locations for 24 different BMP types commonly used in agricultural areas throughout Minnesota and surrounding states.  Expected load reduction estimates for each BMP are then estimated and presented as measurable values at the field-edge and at any specified downstream location.  Expected BMP cost is calculated and is presented in two ways: the EQIP payment schedule rate (2019 rates) and also the useful life total cost.  Useful life total cost is the expected cost (2020 dollars) to plan, permit, design, construct, operate, maintain, and finance a BMP over the expected lifespan of that practice.  </w:t>
      </w:r>
    </w:p>
    <w:p w14:paraId="63C438C3" w14:textId="77777777" w:rsidR="00BF4B45" w:rsidRPr="00BF4B45" w:rsidRDefault="00BF4B45" w:rsidP="00BF4B45">
      <w:r w:rsidRPr="00BF4B45">
        <w:t>The data produced by PTMApp provides a significant amount of utility and allows for a wide range of analysis.  Sediment and nutrient yield and load data allow users to perform source assessments to find locations on the landscape that are contributing the highest mass locally or downstream to a priority location or waterbody.  PTMApp provides a large number of locations for feasible BMPs which allows for flexibility among stakeholders and landowners who are willing to implement practices.  The BMPs generated within PTMApp can be prioritized to meet a variety of water quality goals to ensure the most efficient use of funding and resources. And the data can be used to measure the progress toward meeting those goals.</w:t>
      </w:r>
    </w:p>
    <w:p w14:paraId="35E1C016" w14:textId="77777777" w:rsidR="00BF4B45" w:rsidRPr="00BF4B45" w:rsidRDefault="00BF4B45" w:rsidP="00BF4B45">
      <w:r w:rsidRPr="00BF4B45">
        <w:t xml:space="preserve">The utility of PTMApp-desktop has been expanded with the creation of additional toolboxes that use existing PTMApp data.  </w:t>
      </w:r>
    </w:p>
    <w:p w14:paraId="0D2EFD93" w14:textId="77777777" w:rsidR="00BF4B45" w:rsidRPr="00BF4B45" w:rsidRDefault="00BF4B45" w:rsidP="00BF4B45">
      <w:r w:rsidRPr="00BF4B45">
        <w:t xml:space="preserve">The Summarize by Priority </w:t>
      </w:r>
      <w:proofErr w:type="spellStart"/>
      <w:r w:rsidRPr="00BF4B45">
        <w:t>ResoUrCE</w:t>
      </w:r>
      <w:proofErr w:type="spellEnd"/>
      <w:r w:rsidRPr="00BF4B45">
        <w:t xml:space="preserve"> (SPRUCE) tool allows users to select a specific resource or priority location within a watershed.  The SPRUCE tool then outputs only the user-specified relevant data for the selected area.  This tool streamlines data review and location-specific analysis.</w:t>
      </w:r>
    </w:p>
    <w:p w14:paraId="6B63886D" w14:textId="77777777" w:rsidR="00BF4B45" w:rsidRPr="00BF4B45" w:rsidRDefault="00BF4B45" w:rsidP="00BF4B45">
      <w:r w:rsidRPr="00BF4B45">
        <w:lastRenderedPageBreak/>
        <w:t xml:space="preserve">The BMP User Defined Digital Interface (BUDDI) can also be used as a companion to existing PTMApp data.  The BUDDI tool allows the user of PTMApp-desktop to input a GIS polygon feature class with locations of existing or proposed BMPs, whether they were from the PTMApp output or not, and get the standard PTMApp information (load reduction, cost, cost-effectiveness, etc.) for those user input BMPs.  </w:t>
      </w:r>
    </w:p>
    <w:p w14:paraId="11F9CA80" w14:textId="77777777" w:rsidR="00BF4B45" w:rsidRPr="00BF4B45" w:rsidRDefault="00BF4B45" w:rsidP="00BF4B45"/>
    <w:p w14:paraId="36DA5762" w14:textId="77777777" w:rsidR="00BF4B45" w:rsidRPr="00BF4B45" w:rsidRDefault="00BF4B45" w:rsidP="00613978">
      <w:pPr>
        <w:pStyle w:val="BWSRHeading1"/>
      </w:pPr>
      <w:r w:rsidRPr="00BF4B45">
        <w:t xml:space="preserve">PTMApp strengths – </w:t>
      </w:r>
    </w:p>
    <w:p w14:paraId="71571DFE" w14:textId="77777777" w:rsidR="00BF4B45" w:rsidRPr="00BF4B45" w:rsidRDefault="00BF4B45" w:rsidP="00BF4B45">
      <w:pPr>
        <w:numPr>
          <w:ilvl w:val="0"/>
          <w:numId w:val="3"/>
        </w:numPr>
      </w:pPr>
      <w:r w:rsidRPr="00BF4B45">
        <w:t xml:space="preserve">Analysis of PTMApp data can be performed at many spatial scales (e.g., field scale -HUC8), assuming a rigorously </w:t>
      </w:r>
      <w:proofErr w:type="spellStart"/>
      <w:r w:rsidRPr="00BF4B45">
        <w:t>hydroconditioned</w:t>
      </w:r>
      <w:proofErr w:type="spellEnd"/>
      <w:r w:rsidRPr="00BF4B45">
        <w:t xml:space="preserve"> digital elevation model was used as an input.</w:t>
      </w:r>
    </w:p>
    <w:p w14:paraId="36269FD8" w14:textId="77777777" w:rsidR="00BF4B45" w:rsidRPr="00BF4B45" w:rsidRDefault="00BF4B45" w:rsidP="00BF4B45">
      <w:pPr>
        <w:numPr>
          <w:ilvl w:val="0"/>
          <w:numId w:val="3"/>
        </w:numPr>
      </w:pPr>
      <w:r w:rsidRPr="00BF4B45">
        <w:t>Routing of sediment, TP, and TN loads and expected load reductions allows for water quality goal tracking for prioritized locations and waterbodies.</w:t>
      </w:r>
    </w:p>
    <w:p w14:paraId="02CF0401" w14:textId="77777777" w:rsidR="00BF4B45" w:rsidRPr="00BF4B45" w:rsidRDefault="00BF4B45" w:rsidP="00BF4B45">
      <w:pPr>
        <w:numPr>
          <w:ilvl w:val="0"/>
          <w:numId w:val="3"/>
        </w:numPr>
      </w:pPr>
      <w:r w:rsidRPr="00BF4B45">
        <w:t xml:space="preserve">PTMApp has the ability to ingest water quality monitoring data or yield/load data from other models to better align sediment, TP, and TN yields and loads with expected values.  </w:t>
      </w:r>
    </w:p>
    <w:p w14:paraId="5AD9485E" w14:textId="77777777" w:rsidR="00BF4B45" w:rsidRPr="00BF4B45" w:rsidRDefault="00BF4B45" w:rsidP="00BF4B45">
      <w:pPr>
        <w:numPr>
          <w:ilvl w:val="0"/>
          <w:numId w:val="3"/>
        </w:numPr>
      </w:pPr>
      <w:r w:rsidRPr="00BF4B45">
        <w:t>The flexibility of PTMApp data to be analyzed at many spatial scales allows for focused analysis of priority locations and waterbodies or general analysis of watershed-wide priorities and goals.</w:t>
      </w:r>
    </w:p>
    <w:p w14:paraId="5CBA2C38" w14:textId="77777777" w:rsidR="00BF4B45" w:rsidRPr="00BF4B45" w:rsidRDefault="00BF4B45" w:rsidP="00BF4B45">
      <w:pPr>
        <w:numPr>
          <w:ilvl w:val="0"/>
          <w:numId w:val="3"/>
        </w:numPr>
      </w:pPr>
      <w:r w:rsidRPr="00BF4B45">
        <w:t xml:space="preserve">Default calibration values within the PTMApp tool often provide reasonable results within Minnesota but are also adjustable based on location-specific data.  </w:t>
      </w:r>
    </w:p>
    <w:p w14:paraId="6D3F4AAA" w14:textId="77777777" w:rsidR="00BF4B45" w:rsidRPr="00BF4B45" w:rsidRDefault="00BF4B45" w:rsidP="00BF4B45">
      <w:pPr>
        <w:numPr>
          <w:ilvl w:val="0"/>
          <w:numId w:val="3"/>
        </w:numPr>
      </w:pPr>
      <w:r w:rsidRPr="00BF4B45">
        <w:t>The PTMApp tool is widely adaptable and has been applied in many different watersheds throughout Minnesota as well as in other states and in Canada.</w:t>
      </w:r>
    </w:p>
    <w:p w14:paraId="6301EEDF" w14:textId="77777777" w:rsidR="00BF4B45" w:rsidRPr="00BF4B45" w:rsidRDefault="00BF4B45" w:rsidP="00BF4B45"/>
    <w:p w14:paraId="5C35C2DE" w14:textId="77777777" w:rsidR="00BF4B45" w:rsidRPr="00BF4B45" w:rsidRDefault="00BF4B45" w:rsidP="00613978">
      <w:pPr>
        <w:pStyle w:val="BWSRHeading1"/>
      </w:pPr>
      <w:r w:rsidRPr="00BF4B45">
        <w:t xml:space="preserve">PTMApp limitations – </w:t>
      </w:r>
    </w:p>
    <w:p w14:paraId="1581A108" w14:textId="77777777" w:rsidR="00BF4B45" w:rsidRPr="00BF4B45" w:rsidRDefault="00BF4B45" w:rsidP="00BF4B45">
      <w:pPr>
        <w:numPr>
          <w:ilvl w:val="0"/>
          <w:numId w:val="4"/>
        </w:numPr>
      </w:pPr>
      <w:r w:rsidRPr="00BF4B45">
        <w:t xml:space="preserve">The PTMApp-desktop application requires an extensively </w:t>
      </w:r>
      <w:proofErr w:type="spellStart"/>
      <w:r w:rsidRPr="00BF4B45">
        <w:t>hydroconditioned</w:t>
      </w:r>
      <w:proofErr w:type="spellEnd"/>
      <w:r w:rsidRPr="00BF4B45">
        <w:t xml:space="preserve"> digital elevation model (HDEM) to allow for use in small-scale or detailed planning.  Producing a HDEM can be a very time consuming and expensive undertaking, particularly for large watersheds (HUC10, HUC8)</w:t>
      </w:r>
    </w:p>
    <w:p w14:paraId="290B7657" w14:textId="77777777" w:rsidR="00BF4B45" w:rsidRPr="00BF4B45" w:rsidRDefault="00BF4B45" w:rsidP="00BF4B45">
      <w:pPr>
        <w:numPr>
          <w:ilvl w:val="0"/>
          <w:numId w:val="4"/>
        </w:numPr>
      </w:pPr>
      <w:r w:rsidRPr="00BF4B45">
        <w:t xml:space="preserve">PTMApp does not provide information about various phosphorus or nitrogen species.  The tool only presents annual TP and TN.  </w:t>
      </w:r>
    </w:p>
    <w:p w14:paraId="37C7B78E" w14:textId="77777777" w:rsidR="00BF4B45" w:rsidRPr="00BF4B45" w:rsidRDefault="00BF4B45" w:rsidP="00BF4B45">
      <w:pPr>
        <w:numPr>
          <w:ilvl w:val="0"/>
          <w:numId w:val="4"/>
        </w:numPr>
      </w:pPr>
      <w:r w:rsidRPr="00BF4B45">
        <w:t xml:space="preserve">PTMApp estimates overland flow contributions of sediment, TP, and TN, but does not account for near-channel or in-channel erosion.  </w:t>
      </w:r>
    </w:p>
    <w:p w14:paraId="03D99529" w14:textId="77777777" w:rsidR="00BF4B45" w:rsidRPr="00BF4B45" w:rsidRDefault="00BF4B45" w:rsidP="00BF4B45">
      <w:pPr>
        <w:numPr>
          <w:ilvl w:val="0"/>
          <w:numId w:val="4"/>
        </w:numPr>
      </w:pPr>
      <w:r w:rsidRPr="00BF4B45">
        <w:t xml:space="preserve">Water, sediment, and nutrient transport through subsurface tile drainage and other non-surface </w:t>
      </w:r>
      <w:proofErr w:type="spellStart"/>
      <w:r w:rsidRPr="00BF4B45">
        <w:t>flowpaths</w:t>
      </w:r>
      <w:proofErr w:type="spellEnd"/>
      <w:r w:rsidRPr="00BF4B45">
        <w:t xml:space="preserve"> is not directly addressed by the PTMApp tool.  </w:t>
      </w:r>
    </w:p>
    <w:p w14:paraId="4D3BFFD0" w14:textId="77777777" w:rsidR="00BF4B45" w:rsidRPr="00BF4B45" w:rsidRDefault="00BF4B45" w:rsidP="00BF4B45">
      <w:pPr>
        <w:numPr>
          <w:ilvl w:val="0"/>
          <w:numId w:val="4"/>
        </w:numPr>
      </w:pPr>
      <w:r w:rsidRPr="00BF4B45">
        <w:t xml:space="preserve">Nutrient yield estimates are based solely on literature values assigned to NLCD land use type.  </w:t>
      </w:r>
    </w:p>
    <w:p w14:paraId="11D1B811" w14:textId="77777777" w:rsidR="00BF4B45" w:rsidRPr="00BF4B45" w:rsidRDefault="00BF4B45" w:rsidP="00BF4B45">
      <w:pPr>
        <w:numPr>
          <w:ilvl w:val="0"/>
          <w:numId w:val="4"/>
        </w:numPr>
      </w:pPr>
      <w:r w:rsidRPr="00BF4B45">
        <w:lastRenderedPageBreak/>
        <w:t xml:space="preserve">Water quality benefits are estimated individually for each BMP (i.e. by default the tool does not account for interaction between multiple BMPs in series).  </w:t>
      </w:r>
    </w:p>
    <w:p w14:paraId="358F0E10" w14:textId="77777777" w:rsidR="00BF4B45" w:rsidRPr="00BF4B45" w:rsidRDefault="00BF4B45" w:rsidP="00BF4B45">
      <w:pPr>
        <w:numPr>
          <w:ilvl w:val="1"/>
          <w:numId w:val="4"/>
        </w:numPr>
      </w:pPr>
      <w:r w:rsidRPr="00BF4B45">
        <w:t>The “treatment trains” routine within the PTMApp toolbar has the ability to account for the interaction of multiple BMPs when estimating collective water quality benefits of the BMPs, but it is recommended to only perform this routine with a small number of BMPs.</w:t>
      </w:r>
    </w:p>
    <w:p w14:paraId="4C1B43E5" w14:textId="77777777" w:rsidR="00BF4B45" w:rsidRPr="00BF4B45" w:rsidRDefault="00BF4B45" w:rsidP="00BF4B45">
      <w:pPr>
        <w:numPr>
          <w:ilvl w:val="0"/>
          <w:numId w:val="4"/>
        </w:numPr>
      </w:pPr>
      <w:r w:rsidRPr="00BF4B45">
        <w:t xml:space="preserve">PTMApp does not account for the water quality benefits of existing BMPs.    </w:t>
      </w:r>
    </w:p>
    <w:p w14:paraId="4D0877FD" w14:textId="77777777" w:rsidR="00BF4B45" w:rsidRPr="00BF4B45" w:rsidRDefault="00BF4B45" w:rsidP="00BF4B45">
      <w:pPr>
        <w:numPr>
          <w:ilvl w:val="1"/>
          <w:numId w:val="4"/>
        </w:numPr>
      </w:pPr>
      <w:r w:rsidRPr="00BF4B45">
        <w:t>The BUDDI tool can be used to estimate the water quality benefit of existing practices.  The “treatment trains” routine that is part of the PTMApp toolbar can also be run on the BUDDI outputs to determine the collective effect of those existing BMPs.</w:t>
      </w:r>
    </w:p>
    <w:p w14:paraId="46E3B22F" w14:textId="174A8679" w:rsidR="00C4386B" w:rsidRDefault="00C4386B" w:rsidP="00C4386B"/>
    <w:sectPr w:rsidR="00C438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0C0C" w14:textId="77777777" w:rsidR="00194A37" w:rsidRDefault="00194A37">
      <w:pPr>
        <w:spacing w:before="0" w:after="0" w:line="240" w:lineRule="auto"/>
      </w:pPr>
      <w:r>
        <w:separator/>
      </w:r>
    </w:p>
  </w:endnote>
  <w:endnote w:type="continuationSeparator" w:id="0">
    <w:p w14:paraId="7FB89576" w14:textId="77777777" w:rsidR="00194A37" w:rsidRDefault="00194A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070734"/>
      <w:docPartObj>
        <w:docPartGallery w:val="Page Numbers (Bottom of Page)"/>
        <w:docPartUnique/>
      </w:docPartObj>
    </w:sdtPr>
    <w:sdtEndPr>
      <w:rPr>
        <w:noProof/>
      </w:rPr>
    </w:sdtEndPr>
    <w:sdtContent>
      <w:p w14:paraId="1F06412C" w14:textId="6B9BDB7C" w:rsidR="00613978" w:rsidRDefault="006139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07B9A7" w14:textId="3496B471" w:rsidR="00613978" w:rsidRDefault="00613978">
    <w:pPr>
      <w:pStyle w:val="Footer"/>
    </w:pPr>
    <w:r>
      <w:t>PTMApp General Summary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CAE2" w14:textId="77777777" w:rsidR="00194A37" w:rsidRDefault="00194A37" w:rsidP="00EE105A">
    <w:pPr>
      <w:pStyle w:val="Footer"/>
      <w:jc w:val="right"/>
    </w:pPr>
    <w:r>
      <w:t>PTMApp – Desktop Attribute Catalog</w:t>
    </w:r>
    <w:r w:rsidRPr="00AF5107">
      <w:tab/>
    </w:r>
    <w:r w:rsidRPr="00AF5107">
      <w:fldChar w:fldCharType="begin"/>
    </w:r>
    <w:r w:rsidRPr="00AF5107">
      <w:instrText xml:space="preserve"> PAGE   \* MERGEFORMAT </w:instrText>
    </w:r>
    <w:r w:rsidRPr="00AF5107">
      <w:fldChar w:fldCharType="separate"/>
    </w:r>
    <w:r>
      <w:t>3</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8E8E2" w14:textId="77777777" w:rsidR="00194A37" w:rsidRDefault="00194A37">
      <w:pPr>
        <w:spacing w:before="0" w:after="0" w:line="240" w:lineRule="auto"/>
      </w:pPr>
      <w:r>
        <w:separator/>
      </w:r>
    </w:p>
  </w:footnote>
  <w:footnote w:type="continuationSeparator" w:id="0">
    <w:p w14:paraId="045980B5" w14:textId="77777777" w:rsidR="00194A37" w:rsidRDefault="00194A3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60C64"/>
    <w:multiLevelType w:val="multilevel"/>
    <w:tmpl w:val="84808B26"/>
    <w:lvl w:ilvl="0">
      <w:start w:val="1"/>
      <w:numFmt w:val="decimal"/>
      <w:pStyle w:val="BWSR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2A412E"/>
    <w:multiLevelType w:val="hybridMultilevel"/>
    <w:tmpl w:val="842A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95C97"/>
    <w:multiLevelType w:val="hybridMultilevel"/>
    <w:tmpl w:val="A1608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10842"/>
    <w:multiLevelType w:val="multilevel"/>
    <w:tmpl w:val="55B449E2"/>
    <w:lvl w:ilvl="0">
      <w:start w:val="1"/>
      <w:numFmt w:val="decimal"/>
      <w:lvlText w:val="%1."/>
      <w:lvlJc w:val="left"/>
      <w:pPr>
        <w:ind w:left="360" w:hanging="360"/>
      </w:pPr>
    </w:lvl>
    <w:lvl w:ilvl="1">
      <w:start w:val="1"/>
      <w:numFmt w:val="decimal"/>
      <w:pStyle w:val="BWSR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8837135">
    <w:abstractNumId w:val="0"/>
  </w:num>
  <w:num w:numId="2" w16cid:durableId="2053335916">
    <w:abstractNumId w:val="3"/>
  </w:num>
  <w:num w:numId="3" w16cid:durableId="1200121766">
    <w:abstractNumId w:val="1"/>
  </w:num>
  <w:num w:numId="4" w16cid:durableId="44447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6B"/>
    <w:rsid w:val="00194A37"/>
    <w:rsid w:val="005C17DF"/>
    <w:rsid w:val="00613978"/>
    <w:rsid w:val="007E1835"/>
    <w:rsid w:val="00AC7DB9"/>
    <w:rsid w:val="00BF4B45"/>
    <w:rsid w:val="00C4386B"/>
    <w:rsid w:val="00C6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25529"/>
  <w15:chartTrackingRefBased/>
  <w15:docId w15:val="{6F9C59CC-50CE-4032-ADFD-BAEBF959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WSR Body"/>
    <w:qFormat/>
    <w:rsid w:val="00C4386B"/>
    <w:pPr>
      <w:spacing w:before="200" w:after="200" w:line="271" w:lineRule="auto"/>
    </w:pPr>
    <w:rPr>
      <w:rFonts w:ascii="Calibri" w:eastAsia="Times New Roman" w:hAnsi="Calibri" w:cs="Times New Roman"/>
      <w:kern w:val="0"/>
      <w:sz w:val="22"/>
      <w:szCs w:val="22"/>
      <w:lang w:bidi="en-US"/>
      <w14:ligatures w14:val="none"/>
    </w:rPr>
  </w:style>
  <w:style w:type="paragraph" w:styleId="Heading1">
    <w:name w:val="heading 1"/>
    <w:next w:val="Normal"/>
    <w:link w:val="Heading1Char"/>
    <w:uiPriority w:val="1"/>
    <w:qFormat/>
    <w:rsid w:val="00C4386B"/>
    <w:pPr>
      <w:keepNext/>
      <w:keepLines/>
      <w:tabs>
        <w:tab w:val="left" w:pos="3345"/>
      </w:tabs>
      <w:spacing w:before="240" w:after="120" w:line="271" w:lineRule="auto"/>
      <w:jc w:val="right"/>
      <w:outlineLvl w:val="0"/>
    </w:pPr>
    <w:rPr>
      <w:rFonts w:ascii="Calibri" w:eastAsia="Times New Roman" w:hAnsi="Calibri" w:cs="Times New Roman"/>
      <w:b/>
      <w:color w:val="003865"/>
      <w:kern w:val="0"/>
      <w:sz w:val="48"/>
      <w:szCs w:val="48"/>
      <w:lang w:bidi="en-US"/>
      <w14:ligatures w14:val="none"/>
    </w:rPr>
  </w:style>
  <w:style w:type="paragraph" w:styleId="Heading3">
    <w:name w:val="heading 3"/>
    <w:basedOn w:val="Normal"/>
    <w:next w:val="Normal"/>
    <w:link w:val="Heading3Char"/>
    <w:uiPriority w:val="9"/>
    <w:semiHidden/>
    <w:unhideWhenUsed/>
    <w:qFormat/>
    <w:rsid w:val="00C4386B"/>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386B"/>
    <w:rPr>
      <w:rFonts w:ascii="Calibri" w:eastAsia="Times New Roman" w:hAnsi="Calibri" w:cs="Times New Roman"/>
      <w:b/>
      <w:color w:val="003865"/>
      <w:kern w:val="0"/>
      <w:sz w:val="48"/>
      <w:szCs w:val="48"/>
      <w:lang w:bidi="en-US"/>
      <w14:ligatures w14:val="none"/>
    </w:rPr>
  </w:style>
  <w:style w:type="paragraph" w:styleId="Footer">
    <w:name w:val="footer"/>
    <w:link w:val="FooterChar"/>
    <w:uiPriority w:val="99"/>
    <w:rsid w:val="00C4386B"/>
    <w:pPr>
      <w:tabs>
        <w:tab w:val="right" w:pos="10080"/>
      </w:tabs>
      <w:spacing w:after="0" w:line="336" w:lineRule="auto"/>
    </w:pPr>
    <w:rPr>
      <w:rFonts w:ascii="Calibri" w:eastAsia="Times New Roman" w:hAnsi="Calibri" w:cs="Times New Roman"/>
      <w:kern w:val="0"/>
      <w:sz w:val="22"/>
      <w:szCs w:val="22"/>
      <w:lang w:bidi="en-US"/>
      <w14:ligatures w14:val="none"/>
    </w:rPr>
  </w:style>
  <w:style w:type="character" w:customStyle="1" w:styleId="FooterChar">
    <w:name w:val="Footer Char"/>
    <w:basedOn w:val="DefaultParagraphFont"/>
    <w:link w:val="Footer"/>
    <w:uiPriority w:val="99"/>
    <w:rsid w:val="00C4386B"/>
    <w:rPr>
      <w:rFonts w:ascii="Calibri" w:eastAsia="Times New Roman" w:hAnsi="Calibri" w:cs="Times New Roman"/>
      <w:kern w:val="0"/>
      <w:sz w:val="22"/>
      <w:szCs w:val="22"/>
      <w:lang w:bidi="en-US"/>
      <w14:ligatures w14:val="none"/>
    </w:rPr>
  </w:style>
  <w:style w:type="paragraph" w:customStyle="1" w:styleId="BWSRSubtitle">
    <w:name w:val="BWSR Subtitle"/>
    <w:basedOn w:val="Normal"/>
    <w:link w:val="BWSRSubtitleChar"/>
    <w:qFormat/>
    <w:rsid w:val="00C4386B"/>
    <w:pPr>
      <w:pBdr>
        <w:bottom w:val="single" w:sz="4" w:space="15" w:color="auto"/>
      </w:pBdr>
      <w:jc w:val="right"/>
    </w:pPr>
    <w:rPr>
      <w:color w:val="156082" w:themeColor="accent1"/>
      <w:sz w:val="28"/>
      <w:szCs w:val="28"/>
    </w:rPr>
  </w:style>
  <w:style w:type="character" w:customStyle="1" w:styleId="BWSRSubtitleChar">
    <w:name w:val="BWSR Subtitle Char"/>
    <w:basedOn w:val="DefaultParagraphFont"/>
    <w:link w:val="BWSRSubtitle"/>
    <w:rsid w:val="00C4386B"/>
    <w:rPr>
      <w:rFonts w:ascii="Calibri" w:eastAsia="Times New Roman" w:hAnsi="Calibri" w:cs="Times New Roman"/>
      <w:color w:val="156082" w:themeColor="accent1"/>
      <w:kern w:val="0"/>
      <w:sz w:val="28"/>
      <w:szCs w:val="28"/>
      <w:lang w:bidi="en-US"/>
      <w14:ligatures w14:val="none"/>
    </w:rPr>
  </w:style>
  <w:style w:type="paragraph" w:customStyle="1" w:styleId="BWSRTitle">
    <w:name w:val="BWSR Title"/>
    <w:link w:val="BWSRTitleChar"/>
    <w:qFormat/>
    <w:rsid w:val="005C17DF"/>
    <w:pPr>
      <w:jc w:val="right"/>
    </w:pPr>
    <w:rPr>
      <w:rFonts w:ascii="Calibri" w:eastAsia="Times New Roman" w:hAnsi="Calibri" w:cs="Times New Roman"/>
      <w:b/>
      <w:color w:val="003865"/>
      <w:kern w:val="0"/>
      <w:sz w:val="48"/>
      <w:szCs w:val="48"/>
      <w:lang w:bidi="en-US"/>
      <w14:ligatures w14:val="none"/>
    </w:rPr>
  </w:style>
  <w:style w:type="character" w:customStyle="1" w:styleId="BWSRTitleChar">
    <w:name w:val="BWSR Title Char"/>
    <w:basedOn w:val="Heading1Char"/>
    <w:link w:val="BWSRTitle"/>
    <w:rsid w:val="005C17DF"/>
    <w:rPr>
      <w:rFonts w:ascii="Calibri" w:eastAsia="Times New Roman" w:hAnsi="Calibri" w:cs="Times New Roman"/>
      <w:b/>
      <w:color w:val="003865"/>
      <w:kern w:val="0"/>
      <w:sz w:val="48"/>
      <w:szCs w:val="48"/>
      <w:lang w:bidi="en-US"/>
      <w14:ligatures w14:val="none"/>
    </w:rPr>
  </w:style>
  <w:style w:type="paragraph" w:styleId="Title">
    <w:name w:val="Title"/>
    <w:basedOn w:val="BWSRTitle"/>
    <w:next w:val="Normal"/>
    <w:link w:val="TitleChar"/>
    <w:uiPriority w:val="10"/>
    <w:rsid w:val="00C4386B"/>
  </w:style>
  <w:style w:type="character" w:customStyle="1" w:styleId="TitleChar">
    <w:name w:val="Title Char"/>
    <w:basedOn w:val="DefaultParagraphFont"/>
    <w:link w:val="Title"/>
    <w:uiPriority w:val="10"/>
    <w:rsid w:val="00C4386B"/>
    <w:rPr>
      <w:rFonts w:ascii="Calibri" w:eastAsia="Times New Roman" w:hAnsi="Calibri" w:cs="Times New Roman"/>
      <w:b/>
      <w:color w:val="003865"/>
      <w:kern w:val="0"/>
      <w:sz w:val="48"/>
      <w:szCs w:val="48"/>
      <w:lang w:bidi="en-US"/>
      <w14:ligatures w14:val="none"/>
    </w:rPr>
  </w:style>
  <w:style w:type="paragraph" w:customStyle="1" w:styleId="BWSRHeading1">
    <w:name w:val="BWSR Heading 1"/>
    <w:basedOn w:val="Heading1"/>
    <w:link w:val="BWSRHeading1Char"/>
    <w:autoRedefine/>
    <w:qFormat/>
    <w:rsid w:val="00C4386B"/>
    <w:pPr>
      <w:numPr>
        <w:numId w:val="1"/>
      </w:numPr>
      <w:jc w:val="left"/>
    </w:pPr>
    <w:rPr>
      <w:sz w:val="32"/>
      <w:szCs w:val="32"/>
    </w:rPr>
  </w:style>
  <w:style w:type="character" w:customStyle="1" w:styleId="BWSRHeading1Char">
    <w:name w:val="BWSR Heading 1 Char"/>
    <w:basedOn w:val="BWSRTitleChar"/>
    <w:link w:val="BWSRHeading1"/>
    <w:rsid w:val="005C17DF"/>
    <w:rPr>
      <w:rFonts w:ascii="Calibri" w:eastAsia="Times New Roman" w:hAnsi="Calibri" w:cs="Times New Roman"/>
      <w:b/>
      <w:color w:val="003865"/>
      <w:kern w:val="0"/>
      <w:sz w:val="32"/>
      <w:szCs w:val="32"/>
      <w:lang w:bidi="en-US"/>
      <w14:ligatures w14:val="none"/>
    </w:rPr>
  </w:style>
  <w:style w:type="character" w:customStyle="1" w:styleId="Heading3Char">
    <w:name w:val="Heading 3 Char"/>
    <w:basedOn w:val="DefaultParagraphFont"/>
    <w:link w:val="Heading3"/>
    <w:uiPriority w:val="9"/>
    <w:semiHidden/>
    <w:rsid w:val="00C4386B"/>
    <w:rPr>
      <w:rFonts w:asciiTheme="majorHAnsi" w:eastAsiaTheme="majorEastAsia" w:hAnsiTheme="majorHAnsi" w:cstheme="majorBidi"/>
      <w:color w:val="0A2F40" w:themeColor="accent1" w:themeShade="7F"/>
      <w:kern w:val="0"/>
      <w:lang w:bidi="en-US"/>
      <w14:ligatures w14:val="none"/>
    </w:rPr>
  </w:style>
  <w:style w:type="paragraph" w:customStyle="1" w:styleId="BWSRHeading2">
    <w:name w:val="BWSR Heading 2"/>
    <w:basedOn w:val="Heading3"/>
    <w:link w:val="BWSRHeading2Char"/>
    <w:qFormat/>
    <w:rsid w:val="00C4386B"/>
    <w:pPr>
      <w:numPr>
        <w:ilvl w:val="1"/>
        <w:numId w:val="2"/>
      </w:numPr>
      <w:ind w:left="450"/>
    </w:pPr>
    <w:rPr>
      <w:rFonts w:ascii="Calibri" w:hAnsi="Calibri" w:cs="Calibri"/>
      <w:b/>
      <w:bCs/>
      <w:sz w:val="26"/>
      <w:szCs w:val="26"/>
    </w:rPr>
  </w:style>
  <w:style w:type="character" w:customStyle="1" w:styleId="BWSRHeading2Char">
    <w:name w:val="BWSR Heading 2 Char"/>
    <w:basedOn w:val="Heading3Char"/>
    <w:link w:val="BWSRHeading2"/>
    <w:rsid w:val="00C4386B"/>
    <w:rPr>
      <w:rFonts w:ascii="Calibri" w:eastAsiaTheme="majorEastAsia" w:hAnsi="Calibri" w:cs="Calibri"/>
      <w:b/>
      <w:bCs/>
      <w:color w:val="0A2F40" w:themeColor="accent1" w:themeShade="7F"/>
      <w:kern w:val="0"/>
      <w:sz w:val="26"/>
      <w:szCs w:val="26"/>
      <w:lang w:bidi="en-US"/>
      <w14:ligatures w14:val="none"/>
    </w:rPr>
  </w:style>
  <w:style w:type="table" w:customStyle="1" w:styleId="TableGrid1">
    <w:name w:val="Table Grid1"/>
    <w:basedOn w:val="TableNormal"/>
    <w:uiPriority w:val="59"/>
    <w:locked/>
    <w:rsid w:val="00C4386B"/>
    <w:pPr>
      <w:spacing w:before="120" w:after="0" w:line="240" w:lineRule="auto"/>
    </w:pPr>
    <w:rPr>
      <w:rFonts w:ascii="Calibri" w:eastAsia="Times New Roman" w:hAnsi="Calibri" w:cs="Times New Roman"/>
      <w:kern w:val="0"/>
      <w:sz w:val="22"/>
      <w:szCs w:val="20"/>
      <w:lang w:bidi="en-US"/>
      <w14:ligatures w14:val="none"/>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1"/>
    <w:next w:val="Normal"/>
    <w:uiPriority w:val="39"/>
    <w:unhideWhenUsed/>
    <w:rsid w:val="005C17DF"/>
    <w:pPr>
      <w:tabs>
        <w:tab w:val="clear" w:pos="3345"/>
      </w:tabs>
      <w:spacing w:after="0" w:line="259" w:lineRule="auto"/>
      <w:jc w:val="left"/>
      <w:outlineLvl w:val="9"/>
    </w:pPr>
    <w:rPr>
      <w:rFonts w:asciiTheme="majorHAnsi" w:eastAsiaTheme="majorEastAsia" w:hAnsiTheme="majorHAnsi" w:cstheme="majorBidi"/>
      <w:b w:val="0"/>
      <w:color w:val="0F4761" w:themeColor="accent1" w:themeShade="BF"/>
      <w:sz w:val="32"/>
      <w:szCs w:val="32"/>
      <w:lang w:bidi="ar-SA"/>
    </w:rPr>
  </w:style>
  <w:style w:type="paragraph" w:styleId="TOC1">
    <w:name w:val="toc 1"/>
    <w:basedOn w:val="Normal"/>
    <w:next w:val="Normal"/>
    <w:autoRedefine/>
    <w:uiPriority w:val="39"/>
    <w:unhideWhenUsed/>
    <w:rsid w:val="005C17DF"/>
    <w:pPr>
      <w:spacing w:after="100"/>
    </w:pPr>
  </w:style>
  <w:style w:type="paragraph" w:styleId="TOC3">
    <w:name w:val="toc 3"/>
    <w:basedOn w:val="Normal"/>
    <w:next w:val="Normal"/>
    <w:autoRedefine/>
    <w:uiPriority w:val="39"/>
    <w:unhideWhenUsed/>
    <w:rsid w:val="005C17DF"/>
    <w:pPr>
      <w:spacing w:after="100"/>
      <w:ind w:left="440"/>
    </w:pPr>
  </w:style>
  <w:style w:type="character" w:styleId="Hyperlink">
    <w:name w:val="Hyperlink"/>
    <w:basedOn w:val="DefaultParagraphFont"/>
    <w:uiPriority w:val="99"/>
    <w:unhideWhenUsed/>
    <w:rsid w:val="005C17DF"/>
    <w:rPr>
      <w:color w:val="467886" w:themeColor="hyperlink"/>
      <w:u w:val="single"/>
    </w:rPr>
  </w:style>
  <w:style w:type="paragraph" w:styleId="Header">
    <w:name w:val="header"/>
    <w:basedOn w:val="Normal"/>
    <w:link w:val="HeaderChar"/>
    <w:uiPriority w:val="99"/>
    <w:unhideWhenUsed/>
    <w:rsid w:val="0061397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13978"/>
    <w:rPr>
      <w:rFonts w:ascii="Calibri" w:eastAsia="Times New Roman" w:hAnsi="Calibri" w:cs="Times New Roman"/>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5B375-A8F1-4FB9-9262-F5E15BDE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Kessler</dc:creator>
  <cp:keywords/>
  <dc:description/>
  <cp:lastModifiedBy>Kiah Sagami</cp:lastModifiedBy>
  <cp:revision>5</cp:revision>
  <dcterms:created xsi:type="dcterms:W3CDTF">2024-05-20T21:00:00Z</dcterms:created>
  <dcterms:modified xsi:type="dcterms:W3CDTF">2024-05-28T15:55:00Z</dcterms:modified>
</cp:coreProperties>
</file>