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40DD" w14:textId="47F4C774" w:rsidR="0098390F" w:rsidRDefault="0098390F" w:rsidP="0098390F">
      <w:pPr>
        <w:rPr>
          <w:rFonts w:asciiTheme="majorHAnsi" w:hAnsiTheme="majorHAnsi" w:cstheme="majorBidi"/>
          <w:b/>
          <w:bCs/>
          <w:sz w:val="40"/>
          <w:szCs w:val="40"/>
        </w:rPr>
      </w:pPr>
      <w:r w:rsidRPr="0098390F">
        <w:rPr>
          <w:rFonts w:asciiTheme="majorHAnsi" w:hAnsiTheme="majorHAnsi" w:cstheme="majorBidi"/>
          <w:b/>
          <w:bCs/>
          <w:sz w:val="48"/>
          <w:szCs w:val="48"/>
        </w:rPr>
        <w:t>Mid Diversity Solar Array Dry Soil South and West Seed Mix</w:t>
      </w:r>
      <w:r w:rsidRPr="6CE651A0">
        <w:rPr>
          <w:rFonts w:asciiTheme="majorHAnsi" w:hAnsiTheme="majorHAnsi" w:cstheme="majorBidi"/>
          <w:b/>
          <w:bCs/>
          <w:sz w:val="40"/>
          <w:szCs w:val="40"/>
        </w:rPr>
        <w:t xml:space="preserve"> </w:t>
      </w:r>
      <w:r w:rsidR="007F77F2" w:rsidRPr="00CB3516">
        <w:rPr>
          <w:rFonts w:asciiTheme="majorHAnsi" w:hAnsiTheme="majorHAnsi" w:cstheme="majorBidi"/>
          <w:b/>
          <w:bCs/>
          <w:sz w:val="48"/>
          <w:szCs w:val="48"/>
        </w:rPr>
        <w:t>39-221</w:t>
      </w:r>
    </w:p>
    <w:p w14:paraId="149493A5" w14:textId="24E64EA8" w:rsidR="007F77F2" w:rsidRPr="007F77F2" w:rsidRDefault="007F77F2" w:rsidP="0098390F">
      <w:pPr>
        <w:rPr>
          <w:rFonts w:asciiTheme="majorHAnsi" w:hAnsiTheme="majorHAnsi" w:cstheme="majorBidi"/>
          <w:b/>
          <w:bCs/>
          <w:sz w:val="24"/>
          <w:szCs w:val="24"/>
        </w:rPr>
      </w:pPr>
      <w:r w:rsidRPr="007F77F2">
        <w:rPr>
          <w:rFonts w:asciiTheme="majorHAnsi" w:hAnsiTheme="majorHAnsi" w:cstheme="majorBidi"/>
          <w:b/>
          <w:bCs/>
          <w:sz w:val="24"/>
          <w:szCs w:val="24"/>
        </w:rPr>
        <w:t>Updated 2023</w:t>
      </w:r>
    </w:p>
    <w:p w14:paraId="0FFBB402" w14:textId="0B5346F6" w:rsidR="0098390F" w:rsidRDefault="00253D8C" w:rsidP="0098390F">
      <w:pPr>
        <w:rPr>
          <w:rFonts w:asciiTheme="majorHAnsi" w:hAnsiTheme="majorHAnsi" w:cstheme="majorBidi"/>
          <w:b/>
          <w:bCs/>
          <w:sz w:val="40"/>
          <w:szCs w:val="40"/>
        </w:rPr>
      </w:pPr>
      <w:r>
        <w:rPr>
          <w:noProof/>
        </w:rPr>
        <w:drawing>
          <wp:inline distT="0" distB="0" distL="0" distR="0" wp14:anchorId="14D60D02" wp14:editId="72BDBDB2">
            <wp:extent cx="1885950" cy="109814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098" t="25803" r="41969" b="31808"/>
                    <a:stretch/>
                  </pic:blipFill>
                  <pic:spPr bwMode="auto">
                    <a:xfrm>
                      <a:off x="0" y="0"/>
                      <a:ext cx="1903198" cy="1108191"/>
                    </a:xfrm>
                    <a:prstGeom prst="rect">
                      <a:avLst/>
                    </a:prstGeom>
                    <a:ln>
                      <a:noFill/>
                    </a:ln>
                    <a:extLst>
                      <a:ext uri="{53640926-AAD7-44D8-BBD7-CCE9431645EC}">
                        <a14:shadowObscured xmlns:a14="http://schemas.microsoft.com/office/drawing/2010/main"/>
                      </a:ext>
                    </a:extLst>
                  </pic:spPr>
                </pic:pic>
              </a:graphicData>
            </a:graphic>
          </wp:inline>
        </w:drawing>
      </w:r>
    </w:p>
    <w:p w14:paraId="05C6BF96" w14:textId="14822D0E" w:rsidR="0098390F" w:rsidRDefault="0098390F" w:rsidP="0098390F">
      <w:r w:rsidRPr="00105A48">
        <w:rPr>
          <w:rFonts w:eastAsia="Times New Roman"/>
        </w:rPr>
        <w:t>This mix has been designed to</w:t>
      </w:r>
      <w:r w:rsidRPr="00105A48">
        <w:t xml:space="preserve"> </w:t>
      </w:r>
      <w:r>
        <w:t xml:space="preserve">establish native plantings under solar panels that provide habitat for pollinators and other invertebrates, enhances water management, improves habitat for beneficial soil organisms and provides cooling of solar panels. </w:t>
      </w:r>
    </w:p>
    <w:p w14:paraId="34B0929E" w14:textId="77777777" w:rsidR="0098390F" w:rsidRDefault="0098390F" w:rsidP="0098390F">
      <w:pPr>
        <w:spacing w:after="160" w:line="259" w:lineRule="auto"/>
        <w:rPr>
          <w:rFonts w:asciiTheme="minorHAnsi" w:hAnsiTheme="minorHAnsi" w:cstheme="minorBidi"/>
        </w:rPr>
      </w:pPr>
    </w:p>
    <w:p w14:paraId="64AA57DE" w14:textId="1473D848" w:rsidR="00343862" w:rsidRDefault="00343862" w:rsidP="0098390F">
      <w:pPr>
        <w:spacing w:after="160" w:line="259" w:lineRule="auto"/>
        <w:rPr>
          <w:noProof/>
        </w:rPr>
      </w:pPr>
      <w:r>
        <w:rPr>
          <w:noProof/>
        </w:rPr>
        <w:drawing>
          <wp:inline distT="0" distB="0" distL="0" distR="0" wp14:anchorId="5E2E94E7" wp14:editId="142A4A02">
            <wp:extent cx="2471420" cy="353060"/>
            <wp:effectExtent l="0" t="0" r="508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8">
                      <a:extLst>
                        <a:ext uri="{28A0092B-C50C-407E-A947-70E740481C1C}">
                          <a14:useLocalDpi xmlns:a14="http://schemas.microsoft.com/office/drawing/2010/main" val="0"/>
                        </a:ext>
                      </a:extLst>
                    </a:blip>
                    <a:srcRect t="21622"/>
                    <a:stretch/>
                  </pic:blipFill>
                  <pic:spPr bwMode="auto">
                    <a:xfrm>
                      <a:off x="0" y="0"/>
                      <a:ext cx="2471420" cy="35306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B3CFF99" wp14:editId="2E266853">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p w14:paraId="2FAD2B1C" w14:textId="59E0673C" w:rsidR="00343862" w:rsidRDefault="00343862" w:rsidP="00253D8C">
      <w:pPr>
        <w:spacing w:after="160" w:line="259" w:lineRule="auto"/>
        <w:jc w:val="both"/>
        <w:rPr>
          <w:rFonts w:asciiTheme="minorHAnsi" w:hAnsiTheme="minorHAnsi" w:cstheme="minorBidi"/>
        </w:rPr>
      </w:pPr>
      <w:r>
        <w:rPr>
          <w:noProof/>
        </w:rPr>
        <w:drawing>
          <wp:inline distT="0" distB="0" distL="0" distR="0" wp14:anchorId="321895B4" wp14:editId="7433DC8D">
            <wp:extent cx="2028190" cy="520509"/>
            <wp:effectExtent l="0" t="0" r="0" b="0"/>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190" cy="520509"/>
                    </a:xfrm>
                    <a:prstGeom prst="rect">
                      <a:avLst/>
                    </a:prstGeom>
                    <a:noFill/>
                    <a:ln>
                      <a:noFill/>
                    </a:ln>
                  </pic:spPr>
                </pic:pic>
              </a:graphicData>
            </a:graphic>
          </wp:inline>
        </w:drawing>
      </w:r>
      <w:r>
        <w:rPr>
          <w:noProof/>
        </w:rPr>
        <w:drawing>
          <wp:inline distT="0" distB="0" distL="0" distR="0" wp14:anchorId="10E560FC" wp14:editId="4AC66482">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p w14:paraId="2C93E708" w14:textId="68AF15AC" w:rsidR="007F77F2" w:rsidRDefault="0098390F" w:rsidP="007F77F2">
      <w:pPr>
        <w:spacing w:after="160" w:line="259" w:lineRule="auto"/>
        <w:ind w:right="-540"/>
        <w:rPr>
          <w:rFonts w:asciiTheme="majorHAnsi" w:hAnsiTheme="majorHAnsi" w:cstheme="majorBidi"/>
          <w:b/>
          <w:bCs/>
          <w:sz w:val="40"/>
          <w:szCs w:val="40"/>
        </w:rPr>
      </w:pPr>
      <w:r w:rsidRPr="00105A48">
        <w:rPr>
          <w:rFonts w:asciiTheme="minorHAnsi" w:hAnsiTheme="minorHAnsi" w:cstheme="minorBidi"/>
        </w:rPr>
        <w:t>Partners also include collaboration among Non-profits, Seed vendors, SWCD, Tribal Governments, Consultants, County and Cities. (</w:t>
      </w:r>
      <w:r w:rsidR="00876979" w:rsidRPr="00105A48">
        <w:rPr>
          <w:rFonts w:asciiTheme="minorHAnsi" w:hAnsiTheme="minorHAnsi" w:cstheme="minorBidi"/>
        </w:rPr>
        <w:t>See</w:t>
      </w:r>
      <w:r w:rsidRPr="00105A48">
        <w:rPr>
          <w:rFonts w:asciiTheme="minorHAnsi" w:hAnsiTheme="minorHAnsi" w:cstheme="minorBidi"/>
        </w:rPr>
        <w:t xml:space="preserve"> </w:t>
      </w:r>
      <w:r w:rsidR="00876979">
        <w:rPr>
          <w:rFonts w:asciiTheme="minorHAnsi" w:hAnsiTheme="minorHAnsi" w:cstheme="minorBidi"/>
        </w:rPr>
        <w:t>partner</w:t>
      </w:r>
      <w:r w:rsidRPr="00105A48">
        <w:rPr>
          <w:rFonts w:asciiTheme="minorHAnsi" w:hAnsiTheme="minorHAnsi" w:cstheme="minorBidi"/>
        </w:rPr>
        <w:t xml:space="preserve"> list on </w:t>
      </w:r>
      <w:hyperlink r:id="rId12" w:history="1">
        <w:r w:rsidRPr="00105A48">
          <w:rPr>
            <w:rFonts w:asciiTheme="minorHAnsi" w:hAnsiTheme="minorHAnsi" w:cstheme="minorBidi"/>
            <w:color w:val="0563C1" w:themeColor="hyperlink"/>
            <w:u w:val="single"/>
          </w:rPr>
          <w:t>website</w:t>
        </w:r>
      </w:hyperlink>
      <w:r w:rsidRPr="00105A48">
        <w:rPr>
          <w:rFonts w:asciiTheme="minorHAnsi" w:hAnsiTheme="minorHAnsi" w:cstheme="minorBidi"/>
        </w:rPr>
        <w:t>)</w:t>
      </w:r>
      <w:bookmarkStart w:id="0" w:name="_Hlk131854759"/>
    </w:p>
    <w:tbl>
      <w:tblPr>
        <w:tblW w:w="10573" w:type="dxa"/>
        <w:tblInd w:w="-270" w:type="dxa"/>
        <w:tblLook w:val="04A0" w:firstRow="1" w:lastRow="0" w:firstColumn="1" w:lastColumn="0" w:noHBand="0" w:noVBand="1"/>
      </w:tblPr>
      <w:tblGrid>
        <w:gridCol w:w="990"/>
        <w:gridCol w:w="2340"/>
        <w:gridCol w:w="2970"/>
        <w:gridCol w:w="810"/>
        <w:gridCol w:w="1260"/>
        <w:gridCol w:w="1106"/>
        <w:gridCol w:w="1106"/>
      </w:tblGrid>
      <w:tr w:rsidR="007F77F2" w:rsidRPr="007F77F2" w14:paraId="6473AAB4" w14:textId="77777777" w:rsidTr="003D7F79">
        <w:trPr>
          <w:trHeight w:val="255"/>
        </w:trPr>
        <w:tc>
          <w:tcPr>
            <w:tcW w:w="990" w:type="dxa"/>
            <w:tcBorders>
              <w:top w:val="nil"/>
              <w:left w:val="nil"/>
              <w:bottom w:val="nil"/>
              <w:right w:val="nil"/>
            </w:tcBorders>
            <w:shd w:val="clear" w:color="auto" w:fill="auto"/>
            <w:noWrap/>
            <w:vAlign w:val="bottom"/>
            <w:hideMark/>
          </w:tcPr>
          <w:p w14:paraId="4112E5B0" w14:textId="77777777" w:rsidR="007F77F2" w:rsidRPr="007F77F2" w:rsidRDefault="007F77F2" w:rsidP="007F77F2">
            <w:pPr>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0D026B3B" w14:textId="77777777" w:rsidR="007F77F2" w:rsidRPr="007F77F2" w:rsidRDefault="007F77F2" w:rsidP="007F77F2">
            <w:pPr>
              <w:rPr>
                <w:rFonts w:ascii="Arial" w:eastAsia="Times New Roman" w:hAnsi="Arial" w:cs="Arial"/>
                <w:b/>
                <w:bCs/>
                <w:color w:val="000000"/>
                <w:sz w:val="20"/>
                <w:szCs w:val="20"/>
              </w:rPr>
            </w:pPr>
            <w:bookmarkStart w:id="1" w:name="RANGE!B1:G44"/>
            <w:r w:rsidRPr="007F77F2">
              <w:rPr>
                <w:rFonts w:ascii="Arial" w:eastAsia="Times New Roman" w:hAnsi="Arial" w:cs="Arial"/>
                <w:b/>
                <w:bCs/>
                <w:color w:val="000000"/>
                <w:sz w:val="20"/>
                <w:szCs w:val="20"/>
              </w:rPr>
              <w:t>39-221</w:t>
            </w:r>
            <w:bookmarkEnd w:id="1"/>
          </w:p>
        </w:tc>
        <w:tc>
          <w:tcPr>
            <w:tcW w:w="6146" w:type="dxa"/>
            <w:gridSpan w:val="4"/>
            <w:tcBorders>
              <w:top w:val="nil"/>
              <w:left w:val="nil"/>
              <w:bottom w:val="nil"/>
              <w:right w:val="nil"/>
            </w:tcBorders>
            <w:shd w:val="clear" w:color="auto" w:fill="auto"/>
            <w:noWrap/>
            <w:vAlign w:val="bottom"/>
            <w:hideMark/>
          </w:tcPr>
          <w:p w14:paraId="30D86531"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Mid Diversity Solar Array Dry Soil South &amp; West Mix</w:t>
            </w:r>
          </w:p>
        </w:tc>
        <w:tc>
          <w:tcPr>
            <w:tcW w:w="1097" w:type="dxa"/>
            <w:tcBorders>
              <w:top w:val="nil"/>
              <w:left w:val="nil"/>
              <w:bottom w:val="nil"/>
              <w:right w:val="nil"/>
            </w:tcBorders>
            <w:shd w:val="clear" w:color="auto" w:fill="auto"/>
            <w:noWrap/>
            <w:vAlign w:val="bottom"/>
            <w:hideMark/>
          </w:tcPr>
          <w:p w14:paraId="78AEC976" w14:textId="77777777" w:rsidR="007F77F2" w:rsidRPr="007F77F2" w:rsidRDefault="007F77F2" w:rsidP="007F77F2">
            <w:pPr>
              <w:rPr>
                <w:rFonts w:ascii="Arial" w:eastAsia="Times New Roman" w:hAnsi="Arial" w:cs="Arial"/>
                <w:b/>
                <w:bCs/>
                <w:color w:val="000000"/>
                <w:sz w:val="20"/>
                <w:szCs w:val="20"/>
              </w:rPr>
            </w:pPr>
          </w:p>
        </w:tc>
      </w:tr>
      <w:tr w:rsidR="007F77F2" w:rsidRPr="007F77F2" w14:paraId="3A67101A" w14:textId="77777777" w:rsidTr="003D7F79">
        <w:trPr>
          <w:trHeight w:val="510"/>
        </w:trPr>
        <w:tc>
          <w:tcPr>
            <w:tcW w:w="99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4689887"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Code</w:t>
            </w:r>
          </w:p>
        </w:tc>
        <w:tc>
          <w:tcPr>
            <w:tcW w:w="2340" w:type="dxa"/>
            <w:tcBorders>
              <w:top w:val="single" w:sz="4" w:space="0" w:color="auto"/>
              <w:left w:val="nil"/>
              <w:bottom w:val="single" w:sz="4" w:space="0" w:color="auto"/>
              <w:right w:val="single" w:sz="4" w:space="0" w:color="auto"/>
            </w:tcBorders>
            <w:shd w:val="clear" w:color="000000" w:fill="9BC2E6"/>
            <w:vAlign w:val="bottom"/>
            <w:hideMark/>
          </w:tcPr>
          <w:p w14:paraId="7BB04469" w14:textId="77777777" w:rsidR="007F77F2" w:rsidRPr="007F77F2" w:rsidRDefault="007F77F2" w:rsidP="007F77F2">
            <w:pPr>
              <w:jc w:val="center"/>
              <w:rPr>
                <w:rFonts w:ascii="Arial" w:eastAsia="Times New Roman" w:hAnsi="Arial" w:cs="Arial"/>
                <w:b/>
                <w:bCs/>
                <w:sz w:val="20"/>
                <w:szCs w:val="20"/>
              </w:rPr>
            </w:pPr>
            <w:r w:rsidRPr="007F77F2">
              <w:rPr>
                <w:rFonts w:ascii="Arial" w:eastAsia="Times New Roman" w:hAnsi="Arial" w:cs="Arial"/>
                <w:b/>
                <w:bCs/>
                <w:sz w:val="20"/>
                <w:szCs w:val="20"/>
              </w:rPr>
              <w:t>Common Name</w:t>
            </w:r>
          </w:p>
        </w:tc>
        <w:tc>
          <w:tcPr>
            <w:tcW w:w="2970" w:type="dxa"/>
            <w:tcBorders>
              <w:top w:val="single" w:sz="4" w:space="0" w:color="auto"/>
              <w:left w:val="nil"/>
              <w:bottom w:val="single" w:sz="4" w:space="0" w:color="auto"/>
              <w:right w:val="single" w:sz="4" w:space="0" w:color="auto"/>
            </w:tcBorders>
            <w:shd w:val="clear" w:color="000000" w:fill="9BC2E6"/>
            <w:vAlign w:val="bottom"/>
            <w:hideMark/>
          </w:tcPr>
          <w:p w14:paraId="343D7A63" w14:textId="77777777" w:rsidR="007F77F2" w:rsidRPr="007F77F2" w:rsidRDefault="007F77F2" w:rsidP="007F77F2">
            <w:pPr>
              <w:jc w:val="center"/>
              <w:rPr>
                <w:rFonts w:ascii="Arial" w:eastAsia="Times New Roman" w:hAnsi="Arial" w:cs="Arial"/>
                <w:b/>
                <w:bCs/>
                <w:sz w:val="20"/>
                <w:szCs w:val="20"/>
              </w:rPr>
            </w:pPr>
            <w:r w:rsidRPr="007F77F2">
              <w:rPr>
                <w:rFonts w:ascii="Arial" w:eastAsia="Times New Roman" w:hAnsi="Arial" w:cs="Arial"/>
                <w:b/>
                <w:bCs/>
                <w:sz w:val="20"/>
                <w:szCs w:val="20"/>
              </w:rPr>
              <w:t>Scientific Name</w:t>
            </w:r>
          </w:p>
        </w:tc>
        <w:tc>
          <w:tcPr>
            <w:tcW w:w="810" w:type="dxa"/>
            <w:tcBorders>
              <w:top w:val="single" w:sz="4" w:space="0" w:color="auto"/>
              <w:left w:val="nil"/>
              <w:bottom w:val="single" w:sz="4" w:space="0" w:color="auto"/>
              <w:right w:val="single" w:sz="4" w:space="0" w:color="auto"/>
            </w:tcBorders>
            <w:shd w:val="clear" w:color="000000" w:fill="9BC2E6"/>
            <w:vAlign w:val="bottom"/>
            <w:hideMark/>
          </w:tcPr>
          <w:p w14:paraId="358D06C0" w14:textId="77777777" w:rsidR="007F77F2" w:rsidRPr="007F77F2" w:rsidRDefault="007F77F2" w:rsidP="007F77F2">
            <w:pPr>
              <w:jc w:val="center"/>
              <w:rPr>
                <w:rFonts w:ascii="Arial" w:eastAsia="Times New Roman" w:hAnsi="Arial" w:cs="Arial"/>
                <w:b/>
                <w:bCs/>
                <w:sz w:val="20"/>
                <w:szCs w:val="20"/>
              </w:rPr>
            </w:pPr>
            <w:r w:rsidRPr="007F77F2">
              <w:rPr>
                <w:rFonts w:ascii="Arial" w:eastAsia="Times New Roman" w:hAnsi="Arial" w:cs="Arial"/>
                <w:b/>
                <w:bCs/>
                <w:sz w:val="20"/>
                <w:szCs w:val="20"/>
              </w:rPr>
              <w:t xml:space="preserve">PLS </w:t>
            </w:r>
            <w:proofErr w:type="spellStart"/>
            <w:r w:rsidRPr="007F77F2">
              <w:rPr>
                <w:rFonts w:ascii="Arial" w:eastAsia="Times New Roman" w:hAnsi="Arial" w:cs="Arial"/>
                <w:b/>
                <w:bCs/>
                <w:sz w:val="20"/>
                <w:szCs w:val="20"/>
              </w:rPr>
              <w:t>lb</w:t>
            </w:r>
            <w:proofErr w:type="spellEnd"/>
            <w:r w:rsidRPr="007F77F2">
              <w:rPr>
                <w:rFonts w:ascii="Arial" w:eastAsia="Times New Roman" w:hAnsi="Arial" w:cs="Arial"/>
                <w:b/>
                <w:bCs/>
                <w:sz w:val="20"/>
                <w:szCs w:val="20"/>
              </w:rPr>
              <w:t>/ac</w:t>
            </w:r>
          </w:p>
        </w:tc>
        <w:tc>
          <w:tcPr>
            <w:tcW w:w="1260" w:type="dxa"/>
            <w:tcBorders>
              <w:top w:val="single" w:sz="4" w:space="0" w:color="auto"/>
              <w:left w:val="nil"/>
              <w:bottom w:val="single" w:sz="4" w:space="0" w:color="auto"/>
              <w:right w:val="single" w:sz="4" w:space="0" w:color="auto"/>
            </w:tcBorders>
            <w:shd w:val="clear" w:color="000000" w:fill="9BC2E6"/>
            <w:vAlign w:val="bottom"/>
            <w:hideMark/>
          </w:tcPr>
          <w:p w14:paraId="7E48C4F8" w14:textId="77777777" w:rsidR="007F77F2" w:rsidRPr="007F77F2" w:rsidRDefault="007F77F2" w:rsidP="007F77F2">
            <w:pPr>
              <w:jc w:val="cente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xml:space="preserve">% by PLS </w:t>
            </w:r>
            <w:proofErr w:type="spellStart"/>
            <w:r w:rsidRPr="007F77F2">
              <w:rPr>
                <w:rFonts w:ascii="Arial" w:eastAsia="Times New Roman" w:hAnsi="Arial" w:cs="Arial"/>
                <w:b/>
                <w:bCs/>
                <w:color w:val="000000"/>
                <w:sz w:val="20"/>
                <w:szCs w:val="20"/>
              </w:rPr>
              <w:t>lb</w:t>
            </w:r>
            <w:proofErr w:type="spellEnd"/>
            <w:r w:rsidRPr="007F77F2">
              <w:rPr>
                <w:rFonts w:ascii="Arial" w:eastAsia="Times New Roman" w:hAnsi="Arial" w:cs="Arial"/>
                <w:b/>
                <w:bCs/>
                <w:color w:val="000000"/>
                <w:sz w:val="20"/>
                <w:szCs w:val="20"/>
              </w:rPr>
              <w:t>/ac</w:t>
            </w:r>
          </w:p>
        </w:tc>
        <w:tc>
          <w:tcPr>
            <w:tcW w:w="1106" w:type="dxa"/>
            <w:tcBorders>
              <w:top w:val="single" w:sz="4" w:space="0" w:color="auto"/>
              <w:left w:val="nil"/>
              <w:bottom w:val="single" w:sz="4" w:space="0" w:color="auto"/>
              <w:right w:val="single" w:sz="4" w:space="0" w:color="auto"/>
            </w:tcBorders>
            <w:shd w:val="clear" w:color="000000" w:fill="9BC2E6"/>
            <w:vAlign w:val="bottom"/>
            <w:hideMark/>
          </w:tcPr>
          <w:p w14:paraId="48B95A66" w14:textId="77777777" w:rsidR="007F77F2" w:rsidRPr="007F77F2" w:rsidRDefault="007F77F2" w:rsidP="007F77F2">
            <w:pPr>
              <w:jc w:val="center"/>
              <w:rPr>
                <w:rFonts w:ascii="Arial" w:eastAsia="Times New Roman" w:hAnsi="Arial" w:cs="Arial"/>
                <w:b/>
                <w:bCs/>
                <w:sz w:val="20"/>
                <w:szCs w:val="20"/>
              </w:rPr>
            </w:pPr>
            <w:r w:rsidRPr="007F77F2">
              <w:rPr>
                <w:rFonts w:ascii="Arial" w:eastAsia="Times New Roman" w:hAnsi="Arial" w:cs="Arial"/>
                <w:b/>
                <w:bCs/>
                <w:sz w:val="20"/>
                <w:szCs w:val="20"/>
              </w:rPr>
              <w:t>Seeds/ft2</w:t>
            </w:r>
          </w:p>
        </w:tc>
        <w:tc>
          <w:tcPr>
            <w:tcW w:w="1097" w:type="dxa"/>
            <w:tcBorders>
              <w:top w:val="single" w:sz="4" w:space="0" w:color="auto"/>
              <w:left w:val="nil"/>
              <w:bottom w:val="single" w:sz="4" w:space="0" w:color="auto"/>
              <w:right w:val="single" w:sz="4" w:space="0" w:color="auto"/>
            </w:tcBorders>
            <w:shd w:val="clear" w:color="000000" w:fill="9BC2E6"/>
            <w:vAlign w:val="bottom"/>
            <w:hideMark/>
          </w:tcPr>
          <w:p w14:paraId="09CDE216" w14:textId="77777777" w:rsidR="007F77F2" w:rsidRPr="007F77F2" w:rsidRDefault="007F77F2" w:rsidP="007F77F2">
            <w:pPr>
              <w:jc w:val="center"/>
              <w:rPr>
                <w:rFonts w:ascii="Arial" w:eastAsia="Times New Roman" w:hAnsi="Arial" w:cs="Arial"/>
                <w:b/>
                <w:bCs/>
                <w:sz w:val="20"/>
                <w:szCs w:val="20"/>
              </w:rPr>
            </w:pPr>
            <w:r w:rsidRPr="007F77F2">
              <w:rPr>
                <w:rFonts w:ascii="Arial" w:eastAsia="Times New Roman" w:hAnsi="Arial" w:cs="Arial"/>
                <w:b/>
                <w:bCs/>
                <w:sz w:val="20"/>
                <w:szCs w:val="20"/>
              </w:rPr>
              <w:t>% by Seeds/ft2</w:t>
            </w:r>
          </w:p>
        </w:tc>
      </w:tr>
      <w:tr w:rsidR="007F77F2" w:rsidRPr="007F77F2" w14:paraId="23BAD42B"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EE1926F"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boucur</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4EBB6FC2"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Sideoats</w:t>
            </w:r>
            <w:proofErr w:type="spellEnd"/>
            <w:r w:rsidRPr="007F77F2">
              <w:rPr>
                <w:rFonts w:ascii="Arial" w:eastAsia="Times New Roman" w:hAnsi="Arial" w:cs="Arial"/>
                <w:color w:val="000000"/>
                <w:sz w:val="20"/>
                <w:szCs w:val="20"/>
              </w:rPr>
              <w:t xml:space="preserve"> Grama</w:t>
            </w:r>
          </w:p>
        </w:tc>
        <w:tc>
          <w:tcPr>
            <w:tcW w:w="2970" w:type="dxa"/>
            <w:tcBorders>
              <w:top w:val="nil"/>
              <w:left w:val="nil"/>
              <w:bottom w:val="single" w:sz="4" w:space="0" w:color="auto"/>
              <w:right w:val="single" w:sz="4" w:space="0" w:color="auto"/>
            </w:tcBorders>
            <w:shd w:val="clear" w:color="000000" w:fill="A9D08E"/>
            <w:noWrap/>
            <w:vAlign w:val="bottom"/>
            <w:hideMark/>
          </w:tcPr>
          <w:p w14:paraId="07BB519A"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Bouteloua</w:t>
            </w:r>
            <w:proofErr w:type="spellEnd"/>
            <w:r w:rsidRPr="007F77F2">
              <w:rPr>
                <w:rFonts w:ascii="Arial" w:eastAsia="Times New Roman" w:hAnsi="Arial" w:cs="Arial"/>
                <w:color w:val="000000"/>
                <w:sz w:val="20"/>
                <w:szCs w:val="20"/>
              </w:rPr>
              <w:t xml:space="preserve"> </w:t>
            </w:r>
            <w:proofErr w:type="spellStart"/>
            <w:r w:rsidRPr="007F77F2">
              <w:rPr>
                <w:rFonts w:ascii="Arial" w:eastAsia="Times New Roman" w:hAnsi="Arial" w:cs="Arial"/>
                <w:color w:val="000000"/>
                <w:sz w:val="20"/>
                <w:szCs w:val="20"/>
              </w:rPr>
              <w:t>curtipendula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3836388B"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3.18</w:t>
            </w:r>
          </w:p>
        </w:tc>
        <w:tc>
          <w:tcPr>
            <w:tcW w:w="1260" w:type="dxa"/>
            <w:tcBorders>
              <w:top w:val="nil"/>
              <w:left w:val="nil"/>
              <w:bottom w:val="single" w:sz="4" w:space="0" w:color="auto"/>
              <w:right w:val="single" w:sz="4" w:space="0" w:color="auto"/>
            </w:tcBorders>
            <w:shd w:val="clear" w:color="auto" w:fill="auto"/>
            <w:noWrap/>
            <w:vAlign w:val="bottom"/>
            <w:hideMark/>
          </w:tcPr>
          <w:p w14:paraId="1323FDCC"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12.90%</w:t>
            </w:r>
          </w:p>
        </w:tc>
        <w:tc>
          <w:tcPr>
            <w:tcW w:w="1106" w:type="dxa"/>
            <w:tcBorders>
              <w:top w:val="nil"/>
              <w:left w:val="nil"/>
              <w:bottom w:val="single" w:sz="4" w:space="0" w:color="auto"/>
              <w:right w:val="single" w:sz="4" w:space="0" w:color="auto"/>
            </w:tcBorders>
            <w:shd w:val="clear" w:color="auto" w:fill="auto"/>
            <w:noWrap/>
            <w:vAlign w:val="bottom"/>
            <w:hideMark/>
          </w:tcPr>
          <w:p w14:paraId="66CC31A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7.01</w:t>
            </w:r>
          </w:p>
        </w:tc>
        <w:tc>
          <w:tcPr>
            <w:tcW w:w="1097" w:type="dxa"/>
            <w:tcBorders>
              <w:top w:val="nil"/>
              <w:left w:val="nil"/>
              <w:bottom w:val="single" w:sz="4" w:space="0" w:color="auto"/>
              <w:right w:val="single" w:sz="4" w:space="0" w:color="auto"/>
            </w:tcBorders>
            <w:shd w:val="clear" w:color="auto" w:fill="auto"/>
            <w:noWrap/>
            <w:vAlign w:val="bottom"/>
            <w:hideMark/>
          </w:tcPr>
          <w:p w14:paraId="4299DCDD"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8.52%</w:t>
            </w:r>
          </w:p>
        </w:tc>
      </w:tr>
      <w:tr w:rsidR="007F77F2" w:rsidRPr="007F77F2" w14:paraId="0784E0FC"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16A2CD8"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bougra</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71472F49"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Blue Grama</w:t>
            </w:r>
          </w:p>
        </w:tc>
        <w:tc>
          <w:tcPr>
            <w:tcW w:w="2970" w:type="dxa"/>
            <w:tcBorders>
              <w:top w:val="nil"/>
              <w:left w:val="nil"/>
              <w:bottom w:val="single" w:sz="4" w:space="0" w:color="auto"/>
              <w:right w:val="single" w:sz="4" w:space="0" w:color="auto"/>
            </w:tcBorders>
            <w:shd w:val="clear" w:color="000000" w:fill="A9D08E"/>
            <w:noWrap/>
            <w:vAlign w:val="bottom"/>
            <w:hideMark/>
          </w:tcPr>
          <w:p w14:paraId="52EDF509"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Bouteloua</w:t>
            </w:r>
            <w:proofErr w:type="spellEnd"/>
            <w:r w:rsidRPr="007F77F2">
              <w:rPr>
                <w:rFonts w:ascii="Arial" w:eastAsia="Times New Roman" w:hAnsi="Arial" w:cs="Arial"/>
                <w:color w:val="000000"/>
                <w:sz w:val="20"/>
                <w:szCs w:val="20"/>
              </w:rPr>
              <w:t xml:space="preserve"> </w:t>
            </w:r>
            <w:proofErr w:type="spellStart"/>
            <w:r w:rsidRPr="007F77F2">
              <w:rPr>
                <w:rFonts w:ascii="Arial" w:eastAsia="Times New Roman" w:hAnsi="Arial" w:cs="Arial"/>
                <w:color w:val="000000"/>
                <w:sz w:val="20"/>
                <w:szCs w:val="20"/>
              </w:rPr>
              <w:t>gracilis</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0DDE3B4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0.68</w:t>
            </w:r>
          </w:p>
        </w:tc>
        <w:tc>
          <w:tcPr>
            <w:tcW w:w="1260" w:type="dxa"/>
            <w:tcBorders>
              <w:top w:val="nil"/>
              <w:left w:val="nil"/>
              <w:bottom w:val="single" w:sz="4" w:space="0" w:color="auto"/>
              <w:right w:val="single" w:sz="4" w:space="0" w:color="auto"/>
            </w:tcBorders>
            <w:shd w:val="clear" w:color="auto" w:fill="auto"/>
            <w:noWrap/>
            <w:vAlign w:val="bottom"/>
            <w:hideMark/>
          </w:tcPr>
          <w:p w14:paraId="2195DB6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2.76%</w:t>
            </w:r>
          </w:p>
        </w:tc>
        <w:tc>
          <w:tcPr>
            <w:tcW w:w="1106" w:type="dxa"/>
            <w:tcBorders>
              <w:top w:val="nil"/>
              <w:left w:val="nil"/>
              <w:bottom w:val="single" w:sz="4" w:space="0" w:color="auto"/>
              <w:right w:val="single" w:sz="4" w:space="0" w:color="auto"/>
            </w:tcBorders>
            <w:shd w:val="clear" w:color="auto" w:fill="auto"/>
            <w:noWrap/>
            <w:vAlign w:val="bottom"/>
            <w:hideMark/>
          </w:tcPr>
          <w:p w14:paraId="0D0FD85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9.99</w:t>
            </w:r>
          </w:p>
        </w:tc>
        <w:tc>
          <w:tcPr>
            <w:tcW w:w="1097" w:type="dxa"/>
            <w:tcBorders>
              <w:top w:val="nil"/>
              <w:left w:val="nil"/>
              <w:bottom w:val="single" w:sz="4" w:space="0" w:color="auto"/>
              <w:right w:val="single" w:sz="4" w:space="0" w:color="auto"/>
            </w:tcBorders>
            <w:shd w:val="clear" w:color="auto" w:fill="auto"/>
            <w:noWrap/>
            <w:vAlign w:val="bottom"/>
            <w:hideMark/>
          </w:tcPr>
          <w:p w14:paraId="33EC339D"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12.14%</w:t>
            </w:r>
          </w:p>
        </w:tc>
      </w:tr>
      <w:tr w:rsidR="007F77F2" w:rsidRPr="007F77F2" w14:paraId="47C302E6"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FB7D9F3"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brokal</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1B30EDCF"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Prairie Brome</w:t>
            </w:r>
          </w:p>
        </w:tc>
        <w:tc>
          <w:tcPr>
            <w:tcW w:w="2970" w:type="dxa"/>
            <w:tcBorders>
              <w:top w:val="nil"/>
              <w:left w:val="nil"/>
              <w:bottom w:val="single" w:sz="4" w:space="0" w:color="auto"/>
              <w:right w:val="single" w:sz="4" w:space="0" w:color="auto"/>
            </w:tcBorders>
            <w:shd w:val="clear" w:color="000000" w:fill="A9D08E"/>
            <w:noWrap/>
            <w:vAlign w:val="bottom"/>
            <w:hideMark/>
          </w:tcPr>
          <w:p w14:paraId="3F1FF052"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Bromus </w:t>
            </w:r>
            <w:proofErr w:type="spellStart"/>
            <w:r w:rsidRPr="007F77F2">
              <w:rPr>
                <w:rFonts w:ascii="Arial" w:eastAsia="Times New Roman" w:hAnsi="Arial" w:cs="Arial"/>
                <w:color w:val="000000"/>
                <w:sz w:val="20"/>
                <w:szCs w:val="20"/>
              </w:rPr>
              <w:t>kalmii</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475356A0"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0.20</w:t>
            </w:r>
          </w:p>
        </w:tc>
        <w:tc>
          <w:tcPr>
            <w:tcW w:w="1260" w:type="dxa"/>
            <w:tcBorders>
              <w:top w:val="nil"/>
              <w:left w:val="nil"/>
              <w:bottom w:val="single" w:sz="4" w:space="0" w:color="auto"/>
              <w:right w:val="single" w:sz="4" w:space="0" w:color="auto"/>
            </w:tcBorders>
            <w:shd w:val="clear" w:color="auto" w:fill="auto"/>
            <w:noWrap/>
            <w:vAlign w:val="bottom"/>
            <w:hideMark/>
          </w:tcPr>
          <w:p w14:paraId="632F13FC"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0.81%</w:t>
            </w:r>
          </w:p>
        </w:tc>
        <w:tc>
          <w:tcPr>
            <w:tcW w:w="1106" w:type="dxa"/>
            <w:tcBorders>
              <w:top w:val="nil"/>
              <w:left w:val="nil"/>
              <w:bottom w:val="single" w:sz="4" w:space="0" w:color="auto"/>
              <w:right w:val="single" w:sz="4" w:space="0" w:color="auto"/>
            </w:tcBorders>
            <w:shd w:val="clear" w:color="auto" w:fill="auto"/>
            <w:noWrap/>
            <w:vAlign w:val="bottom"/>
            <w:hideMark/>
          </w:tcPr>
          <w:p w14:paraId="201E9EEA"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0.59</w:t>
            </w:r>
          </w:p>
        </w:tc>
        <w:tc>
          <w:tcPr>
            <w:tcW w:w="1097" w:type="dxa"/>
            <w:tcBorders>
              <w:top w:val="nil"/>
              <w:left w:val="nil"/>
              <w:bottom w:val="single" w:sz="4" w:space="0" w:color="auto"/>
              <w:right w:val="single" w:sz="4" w:space="0" w:color="auto"/>
            </w:tcBorders>
            <w:shd w:val="clear" w:color="auto" w:fill="auto"/>
            <w:noWrap/>
            <w:vAlign w:val="bottom"/>
            <w:hideMark/>
          </w:tcPr>
          <w:p w14:paraId="51C32DDB"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0.71%</w:t>
            </w:r>
          </w:p>
        </w:tc>
      </w:tr>
      <w:tr w:rsidR="007F77F2" w:rsidRPr="007F77F2" w14:paraId="72277865"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F531151"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elycan</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50CC0925"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Canada Wild Rye</w:t>
            </w:r>
          </w:p>
        </w:tc>
        <w:tc>
          <w:tcPr>
            <w:tcW w:w="2970" w:type="dxa"/>
            <w:tcBorders>
              <w:top w:val="nil"/>
              <w:left w:val="nil"/>
              <w:bottom w:val="single" w:sz="4" w:space="0" w:color="auto"/>
              <w:right w:val="single" w:sz="4" w:space="0" w:color="auto"/>
            </w:tcBorders>
            <w:shd w:val="clear" w:color="000000" w:fill="A9D08E"/>
            <w:noWrap/>
            <w:vAlign w:val="bottom"/>
            <w:hideMark/>
          </w:tcPr>
          <w:p w14:paraId="3E87BD8A"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Elymus canadensis</w:t>
            </w:r>
          </w:p>
        </w:tc>
        <w:tc>
          <w:tcPr>
            <w:tcW w:w="810" w:type="dxa"/>
            <w:tcBorders>
              <w:top w:val="nil"/>
              <w:left w:val="nil"/>
              <w:bottom w:val="single" w:sz="4" w:space="0" w:color="auto"/>
              <w:right w:val="single" w:sz="4" w:space="0" w:color="auto"/>
            </w:tcBorders>
            <w:shd w:val="clear" w:color="auto" w:fill="auto"/>
            <w:noWrap/>
            <w:vAlign w:val="bottom"/>
            <w:hideMark/>
          </w:tcPr>
          <w:p w14:paraId="787F1C97"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0.20</w:t>
            </w:r>
          </w:p>
        </w:tc>
        <w:tc>
          <w:tcPr>
            <w:tcW w:w="1260" w:type="dxa"/>
            <w:tcBorders>
              <w:top w:val="nil"/>
              <w:left w:val="nil"/>
              <w:bottom w:val="single" w:sz="4" w:space="0" w:color="auto"/>
              <w:right w:val="single" w:sz="4" w:space="0" w:color="auto"/>
            </w:tcBorders>
            <w:shd w:val="clear" w:color="auto" w:fill="auto"/>
            <w:noWrap/>
            <w:vAlign w:val="bottom"/>
            <w:hideMark/>
          </w:tcPr>
          <w:p w14:paraId="3F78B54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0.81%</w:t>
            </w:r>
          </w:p>
        </w:tc>
        <w:tc>
          <w:tcPr>
            <w:tcW w:w="1106" w:type="dxa"/>
            <w:tcBorders>
              <w:top w:val="nil"/>
              <w:left w:val="nil"/>
              <w:bottom w:val="single" w:sz="4" w:space="0" w:color="auto"/>
              <w:right w:val="single" w:sz="4" w:space="0" w:color="auto"/>
            </w:tcBorders>
            <w:shd w:val="clear" w:color="auto" w:fill="auto"/>
            <w:noWrap/>
            <w:vAlign w:val="bottom"/>
            <w:hideMark/>
          </w:tcPr>
          <w:p w14:paraId="14D05345"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0.38</w:t>
            </w:r>
          </w:p>
        </w:tc>
        <w:tc>
          <w:tcPr>
            <w:tcW w:w="1097" w:type="dxa"/>
            <w:tcBorders>
              <w:top w:val="nil"/>
              <w:left w:val="nil"/>
              <w:bottom w:val="single" w:sz="4" w:space="0" w:color="auto"/>
              <w:right w:val="single" w:sz="4" w:space="0" w:color="auto"/>
            </w:tcBorders>
            <w:shd w:val="clear" w:color="auto" w:fill="auto"/>
            <w:noWrap/>
            <w:vAlign w:val="bottom"/>
            <w:hideMark/>
          </w:tcPr>
          <w:p w14:paraId="1717410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0.46%</w:t>
            </w:r>
          </w:p>
        </w:tc>
      </w:tr>
      <w:tr w:rsidR="007F77F2" w:rsidRPr="007F77F2" w14:paraId="43D67E3B"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F42B160"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fesrub</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6C9BA549"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Creeping Red Fescue</w:t>
            </w:r>
          </w:p>
        </w:tc>
        <w:tc>
          <w:tcPr>
            <w:tcW w:w="2970" w:type="dxa"/>
            <w:tcBorders>
              <w:top w:val="nil"/>
              <w:left w:val="nil"/>
              <w:bottom w:val="single" w:sz="4" w:space="0" w:color="auto"/>
              <w:right w:val="single" w:sz="4" w:space="0" w:color="auto"/>
            </w:tcBorders>
            <w:shd w:val="clear" w:color="000000" w:fill="A9D08E"/>
            <w:noWrap/>
            <w:vAlign w:val="bottom"/>
            <w:hideMark/>
          </w:tcPr>
          <w:p w14:paraId="2A20D3A3"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Festuca rubra</w:t>
            </w:r>
          </w:p>
        </w:tc>
        <w:tc>
          <w:tcPr>
            <w:tcW w:w="810" w:type="dxa"/>
            <w:tcBorders>
              <w:top w:val="nil"/>
              <w:left w:val="nil"/>
              <w:bottom w:val="single" w:sz="4" w:space="0" w:color="auto"/>
              <w:right w:val="single" w:sz="4" w:space="0" w:color="auto"/>
            </w:tcBorders>
            <w:shd w:val="clear" w:color="auto" w:fill="auto"/>
            <w:noWrap/>
            <w:vAlign w:val="bottom"/>
            <w:hideMark/>
          </w:tcPr>
          <w:p w14:paraId="4863E044"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3A9F788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4.06%</w:t>
            </w:r>
          </w:p>
        </w:tc>
        <w:tc>
          <w:tcPr>
            <w:tcW w:w="1106" w:type="dxa"/>
            <w:tcBorders>
              <w:top w:val="nil"/>
              <w:left w:val="nil"/>
              <w:bottom w:val="single" w:sz="4" w:space="0" w:color="auto"/>
              <w:right w:val="single" w:sz="4" w:space="0" w:color="auto"/>
            </w:tcBorders>
            <w:shd w:val="clear" w:color="auto" w:fill="auto"/>
            <w:noWrap/>
            <w:vAlign w:val="bottom"/>
            <w:hideMark/>
          </w:tcPr>
          <w:p w14:paraId="12E0AFFD"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10.42</w:t>
            </w:r>
          </w:p>
        </w:tc>
        <w:tc>
          <w:tcPr>
            <w:tcW w:w="1097" w:type="dxa"/>
            <w:tcBorders>
              <w:top w:val="nil"/>
              <w:left w:val="nil"/>
              <w:bottom w:val="single" w:sz="4" w:space="0" w:color="auto"/>
              <w:right w:val="single" w:sz="4" w:space="0" w:color="auto"/>
            </w:tcBorders>
            <w:shd w:val="clear" w:color="auto" w:fill="auto"/>
            <w:noWrap/>
            <w:vAlign w:val="bottom"/>
            <w:hideMark/>
          </w:tcPr>
          <w:p w14:paraId="50CC2C90"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12.67%</w:t>
            </w:r>
          </w:p>
        </w:tc>
      </w:tr>
      <w:tr w:rsidR="007F77F2" w:rsidRPr="007F77F2" w14:paraId="269610B7"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6B5892F"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koemac</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4D5C8B31"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June Grass</w:t>
            </w:r>
          </w:p>
        </w:tc>
        <w:tc>
          <w:tcPr>
            <w:tcW w:w="2970" w:type="dxa"/>
            <w:tcBorders>
              <w:top w:val="nil"/>
              <w:left w:val="nil"/>
              <w:bottom w:val="single" w:sz="4" w:space="0" w:color="auto"/>
              <w:right w:val="single" w:sz="4" w:space="0" w:color="auto"/>
            </w:tcBorders>
            <w:shd w:val="clear" w:color="000000" w:fill="A9D08E"/>
            <w:noWrap/>
            <w:vAlign w:val="bottom"/>
            <w:hideMark/>
          </w:tcPr>
          <w:p w14:paraId="7254BCB3"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Koeleria </w:t>
            </w:r>
            <w:proofErr w:type="spellStart"/>
            <w:r w:rsidRPr="007F77F2">
              <w:rPr>
                <w:rFonts w:ascii="Arial" w:eastAsia="Times New Roman" w:hAnsi="Arial" w:cs="Arial"/>
                <w:color w:val="000000"/>
                <w:sz w:val="20"/>
                <w:szCs w:val="20"/>
              </w:rPr>
              <w:t>macrantha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37D8206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0.14</w:t>
            </w:r>
          </w:p>
        </w:tc>
        <w:tc>
          <w:tcPr>
            <w:tcW w:w="1260" w:type="dxa"/>
            <w:tcBorders>
              <w:top w:val="nil"/>
              <w:left w:val="nil"/>
              <w:bottom w:val="single" w:sz="4" w:space="0" w:color="auto"/>
              <w:right w:val="single" w:sz="4" w:space="0" w:color="auto"/>
            </w:tcBorders>
            <w:shd w:val="clear" w:color="auto" w:fill="auto"/>
            <w:noWrap/>
            <w:vAlign w:val="bottom"/>
            <w:hideMark/>
          </w:tcPr>
          <w:p w14:paraId="7960EA1C"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0.57%</w:t>
            </w:r>
          </w:p>
        </w:tc>
        <w:tc>
          <w:tcPr>
            <w:tcW w:w="1106" w:type="dxa"/>
            <w:tcBorders>
              <w:top w:val="nil"/>
              <w:left w:val="nil"/>
              <w:bottom w:val="single" w:sz="4" w:space="0" w:color="auto"/>
              <w:right w:val="single" w:sz="4" w:space="0" w:color="auto"/>
            </w:tcBorders>
            <w:shd w:val="clear" w:color="auto" w:fill="auto"/>
            <w:noWrap/>
            <w:vAlign w:val="bottom"/>
            <w:hideMark/>
          </w:tcPr>
          <w:p w14:paraId="16021F52"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10.28</w:t>
            </w:r>
          </w:p>
        </w:tc>
        <w:tc>
          <w:tcPr>
            <w:tcW w:w="1097" w:type="dxa"/>
            <w:tcBorders>
              <w:top w:val="nil"/>
              <w:left w:val="nil"/>
              <w:bottom w:val="single" w:sz="4" w:space="0" w:color="auto"/>
              <w:right w:val="single" w:sz="4" w:space="0" w:color="auto"/>
            </w:tcBorders>
            <w:shd w:val="clear" w:color="auto" w:fill="auto"/>
            <w:noWrap/>
            <w:vAlign w:val="bottom"/>
            <w:hideMark/>
          </w:tcPr>
          <w:p w14:paraId="6A785D0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12.50%</w:t>
            </w:r>
          </w:p>
        </w:tc>
      </w:tr>
      <w:tr w:rsidR="007F77F2" w:rsidRPr="007F77F2" w14:paraId="7B4083AC"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60C0C47"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schsco</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773FEACA"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Little Bluestem</w:t>
            </w:r>
          </w:p>
        </w:tc>
        <w:tc>
          <w:tcPr>
            <w:tcW w:w="2970" w:type="dxa"/>
            <w:tcBorders>
              <w:top w:val="nil"/>
              <w:left w:val="nil"/>
              <w:bottom w:val="single" w:sz="4" w:space="0" w:color="auto"/>
              <w:right w:val="single" w:sz="4" w:space="0" w:color="auto"/>
            </w:tcBorders>
            <w:shd w:val="clear" w:color="000000" w:fill="A9D08E"/>
            <w:noWrap/>
            <w:vAlign w:val="bottom"/>
            <w:hideMark/>
          </w:tcPr>
          <w:p w14:paraId="6A1F2FE8"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Schizachyrium</w:t>
            </w:r>
            <w:proofErr w:type="spellEnd"/>
            <w:r w:rsidRPr="007F77F2">
              <w:rPr>
                <w:rFonts w:ascii="Arial" w:eastAsia="Times New Roman" w:hAnsi="Arial" w:cs="Arial"/>
                <w:color w:val="000000"/>
                <w:sz w:val="20"/>
                <w:szCs w:val="20"/>
              </w:rPr>
              <w:t xml:space="preserve"> </w:t>
            </w:r>
            <w:proofErr w:type="spellStart"/>
            <w:r w:rsidRPr="007F77F2">
              <w:rPr>
                <w:rFonts w:ascii="Arial" w:eastAsia="Times New Roman" w:hAnsi="Arial" w:cs="Arial"/>
                <w:color w:val="000000"/>
                <w:sz w:val="20"/>
                <w:szCs w:val="20"/>
              </w:rPr>
              <w:t>scoparium</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497DC01B"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1.45</w:t>
            </w:r>
          </w:p>
        </w:tc>
        <w:tc>
          <w:tcPr>
            <w:tcW w:w="1260" w:type="dxa"/>
            <w:tcBorders>
              <w:top w:val="nil"/>
              <w:left w:val="nil"/>
              <w:bottom w:val="single" w:sz="4" w:space="0" w:color="auto"/>
              <w:right w:val="single" w:sz="4" w:space="0" w:color="auto"/>
            </w:tcBorders>
            <w:shd w:val="clear" w:color="auto" w:fill="auto"/>
            <w:noWrap/>
            <w:vAlign w:val="bottom"/>
            <w:hideMark/>
          </w:tcPr>
          <w:p w14:paraId="783FAA11"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5.88%</w:t>
            </w:r>
          </w:p>
        </w:tc>
        <w:tc>
          <w:tcPr>
            <w:tcW w:w="1106" w:type="dxa"/>
            <w:tcBorders>
              <w:top w:val="nil"/>
              <w:left w:val="nil"/>
              <w:bottom w:val="single" w:sz="4" w:space="0" w:color="auto"/>
              <w:right w:val="single" w:sz="4" w:space="0" w:color="auto"/>
            </w:tcBorders>
            <w:shd w:val="clear" w:color="auto" w:fill="auto"/>
            <w:noWrap/>
            <w:vAlign w:val="bottom"/>
            <w:hideMark/>
          </w:tcPr>
          <w:p w14:paraId="3D6C3B5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7.99</w:t>
            </w:r>
          </w:p>
        </w:tc>
        <w:tc>
          <w:tcPr>
            <w:tcW w:w="1097" w:type="dxa"/>
            <w:tcBorders>
              <w:top w:val="nil"/>
              <w:left w:val="nil"/>
              <w:bottom w:val="single" w:sz="4" w:space="0" w:color="auto"/>
              <w:right w:val="single" w:sz="4" w:space="0" w:color="auto"/>
            </w:tcBorders>
            <w:shd w:val="clear" w:color="auto" w:fill="auto"/>
            <w:noWrap/>
            <w:vAlign w:val="bottom"/>
            <w:hideMark/>
          </w:tcPr>
          <w:p w14:paraId="7C2D91D5"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9.71%</w:t>
            </w:r>
          </w:p>
        </w:tc>
      </w:tr>
      <w:tr w:rsidR="007F77F2" w:rsidRPr="007F77F2" w14:paraId="3F720399"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50861E1"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spocom</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5D9FF371"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Rough Dropseed</w:t>
            </w:r>
          </w:p>
        </w:tc>
        <w:tc>
          <w:tcPr>
            <w:tcW w:w="2970" w:type="dxa"/>
            <w:tcBorders>
              <w:top w:val="nil"/>
              <w:left w:val="nil"/>
              <w:bottom w:val="single" w:sz="4" w:space="0" w:color="auto"/>
              <w:right w:val="single" w:sz="4" w:space="0" w:color="auto"/>
            </w:tcBorders>
            <w:shd w:val="clear" w:color="000000" w:fill="A9D08E"/>
            <w:noWrap/>
            <w:vAlign w:val="bottom"/>
            <w:hideMark/>
          </w:tcPr>
          <w:p w14:paraId="5C4B15E2"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Sporobolus </w:t>
            </w:r>
            <w:proofErr w:type="spellStart"/>
            <w:r w:rsidRPr="007F77F2">
              <w:rPr>
                <w:rFonts w:ascii="Arial" w:eastAsia="Times New Roman" w:hAnsi="Arial" w:cs="Arial"/>
                <w:color w:val="000000"/>
                <w:sz w:val="20"/>
                <w:szCs w:val="20"/>
              </w:rPr>
              <w:t>compositus</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47936527"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0.45</w:t>
            </w:r>
          </w:p>
        </w:tc>
        <w:tc>
          <w:tcPr>
            <w:tcW w:w="1260" w:type="dxa"/>
            <w:tcBorders>
              <w:top w:val="nil"/>
              <w:left w:val="nil"/>
              <w:bottom w:val="single" w:sz="4" w:space="0" w:color="auto"/>
              <w:right w:val="single" w:sz="4" w:space="0" w:color="auto"/>
            </w:tcBorders>
            <w:shd w:val="clear" w:color="auto" w:fill="auto"/>
            <w:noWrap/>
            <w:vAlign w:val="bottom"/>
            <w:hideMark/>
          </w:tcPr>
          <w:p w14:paraId="7C9C7224"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1.83%</w:t>
            </w:r>
          </w:p>
        </w:tc>
        <w:tc>
          <w:tcPr>
            <w:tcW w:w="1106" w:type="dxa"/>
            <w:tcBorders>
              <w:top w:val="nil"/>
              <w:left w:val="nil"/>
              <w:bottom w:val="single" w:sz="4" w:space="0" w:color="auto"/>
              <w:right w:val="single" w:sz="4" w:space="0" w:color="auto"/>
            </w:tcBorders>
            <w:shd w:val="clear" w:color="auto" w:fill="auto"/>
            <w:noWrap/>
            <w:vAlign w:val="bottom"/>
            <w:hideMark/>
          </w:tcPr>
          <w:p w14:paraId="18D3BB47"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4.96</w:t>
            </w:r>
          </w:p>
        </w:tc>
        <w:tc>
          <w:tcPr>
            <w:tcW w:w="1097" w:type="dxa"/>
            <w:tcBorders>
              <w:top w:val="nil"/>
              <w:left w:val="nil"/>
              <w:bottom w:val="single" w:sz="4" w:space="0" w:color="auto"/>
              <w:right w:val="single" w:sz="4" w:space="0" w:color="auto"/>
            </w:tcBorders>
            <w:shd w:val="clear" w:color="auto" w:fill="auto"/>
            <w:noWrap/>
            <w:vAlign w:val="bottom"/>
            <w:hideMark/>
          </w:tcPr>
          <w:p w14:paraId="0DC4515D"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6.03%</w:t>
            </w:r>
          </w:p>
        </w:tc>
      </w:tr>
      <w:tr w:rsidR="007F77F2" w:rsidRPr="007F77F2" w14:paraId="32DC1ECD"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400E1DF"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spohet</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00E5E0F6"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Prairie Dropseed</w:t>
            </w:r>
          </w:p>
        </w:tc>
        <w:tc>
          <w:tcPr>
            <w:tcW w:w="2970" w:type="dxa"/>
            <w:tcBorders>
              <w:top w:val="nil"/>
              <w:left w:val="nil"/>
              <w:bottom w:val="single" w:sz="4" w:space="0" w:color="auto"/>
              <w:right w:val="single" w:sz="4" w:space="0" w:color="auto"/>
            </w:tcBorders>
            <w:shd w:val="clear" w:color="000000" w:fill="A9D08E"/>
            <w:noWrap/>
            <w:vAlign w:val="bottom"/>
            <w:hideMark/>
          </w:tcPr>
          <w:p w14:paraId="0DF3F2A5"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Sporobolus </w:t>
            </w:r>
            <w:proofErr w:type="spellStart"/>
            <w:r w:rsidRPr="007F77F2">
              <w:rPr>
                <w:rFonts w:ascii="Arial" w:eastAsia="Times New Roman" w:hAnsi="Arial" w:cs="Arial"/>
                <w:color w:val="000000"/>
                <w:sz w:val="20"/>
                <w:szCs w:val="20"/>
              </w:rPr>
              <w:t>heterolepis</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62B05D0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22EE175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0.41%</w:t>
            </w:r>
          </w:p>
        </w:tc>
        <w:tc>
          <w:tcPr>
            <w:tcW w:w="1106" w:type="dxa"/>
            <w:tcBorders>
              <w:top w:val="nil"/>
              <w:left w:val="nil"/>
              <w:bottom w:val="single" w:sz="4" w:space="0" w:color="auto"/>
              <w:right w:val="single" w:sz="4" w:space="0" w:color="auto"/>
            </w:tcBorders>
            <w:shd w:val="clear" w:color="auto" w:fill="auto"/>
            <w:noWrap/>
            <w:vAlign w:val="bottom"/>
            <w:hideMark/>
          </w:tcPr>
          <w:p w14:paraId="230270E0"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0.59</w:t>
            </w:r>
          </w:p>
        </w:tc>
        <w:tc>
          <w:tcPr>
            <w:tcW w:w="1097" w:type="dxa"/>
            <w:tcBorders>
              <w:top w:val="nil"/>
              <w:left w:val="nil"/>
              <w:bottom w:val="single" w:sz="4" w:space="0" w:color="auto"/>
              <w:right w:val="single" w:sz="4" w:space="0" w:color="auto"/>
            </w:tcBorders>
            <w:shd w:val="clear" w:color="auto" w:fill="auto"/>
            <w:noWrap/>
            <w:vAlign w:val="bottom"/>
            <w:hideMark/>
          </w:tcPr>
          <w:p w14:paraId="2FB0F60D"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0.71%</w:t>
            </w:r>
          </w:p>
        </w:tc>
      </w:tr>
      <w:tr w:rsidR="007F77F2" w:rsidRPr="007F77F2" w14:paraId="79821AB9" w14:textId="77777777" w:rsidTr="003D7F79">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41965C4A"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w:t>
            </w:r>
          </w:p>
        </w:tc>
        <w:tc>
          <w:tcPr>
            <w:tcW w:w="2340" w:type="dxa"/>
            <w:tcBorders>
              <w:top w:val="nil"/>
              <w:left w:val="nil"/>
              <w:bottom w:val="single" w:sz="4" w:space="0" w:color="auto"/>
              <w:right w:val="single" w:sz="4" w:space="0" w:color="auto"/>
            </w:tcBorders>
            <w:shd w:val="clear" w:color="000000" w:fill="9BC2E6"/>
            <w:noWrap/>
            <w:vAlign w:val="bottom"/>
            <w:hideMark/>
          </w:tcPr>
          <w:p w14:paraId="405F571A"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w:t>
            </w:r>
          </w:p>
        </w:tc>
        <w:tc>
          <w:tcPr>
            <w:tcW w:w="2970" w:type="dxa"/>
            <w:tcBorders>
              <w:top w:val="nil"/>
              <w:left w:val="nil"/>
              <w:bottom w:val="single" w:sz="4" w:space="0" w:color="auto"/>
              <w:right w:val="single" w:sz="4" w:space="0" w:color="auto"/>
            </w:tcBorders>
            <w:shd w:val="clear" w:color="000000" w:fill="9BC2E6"/>
            <w:noWrap/>
            <w:vAlign w:val="bottom"/>
            <w:hideMark/>
          </w:tcPr>
          <w:p w14:paraId="249D6095"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Grasses Subtotal</w:t>
            </w:r>
          </w:p>
        </w:tc>
        <w:tc>
          <w:tcPr>
            <w:tcW w:w="810" w:type="dxa"/>
            <w:tcBorders>
              <w:top w:val="nil"/>
              <w:left w:val="nil"/>
              <w:bottom w:val="single" w:sz="4" w:space="0" w:color="auto"/>
              <w:right w:val="single" w:sz="4" w:space="0" w:color="auto"/>
            </w:tcBorders>
            <w:shd w:val="clear" w:color="000000" w:fill="9BC2E6"/>
            <w:noWrap/>
            <w:vAlign w:val="bottom"/>
            <w:hideMark/>
          </w:tcPr>
          <w:p w14:paraId="448EE954"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7.40</w:t>
            </w:r>
          </w:p>
        </w:tc>
        <w:tc>
          <w:tcPr>
            <w:tcW w:w="1260" w:type="dxa"/>
            <w:tcBorders>
              <w:top w:val="nil"/>
              <w:left w:val="nil"/>
              <w:bottom w:val="single" w:sz="4" w:space="0" w:color="auto"/>
              <w:right w:val="single" w:sz="4" w:space="0" w:color="auto"/>
            </w:tcBorders>
            <w:shd w:val="clear" w:color="000000" w:fill="9BC2E6"/>
            <w:noWrap/>
            <w:vAlign w:val="bottom"/>
            <w:hideMark/>
          </w:tcPr>
          <w:p w14:paraId="399A1402"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30.02%</w:t>
            </w:r>
          </w:p>
        </w:tc>
        <w:tc>
          <w:tcPr>
            <w:tcW w:w="1106" w:type="dxa"/>
            <w:tcBorders>
              <w:top w:val="nil"/>
              <w:left w:val="nil"/>
              <w:bottom w:val="single" w:sz="4" w:space="0" w:color="auto"/>
              <w:right w:val="single" w:sz="4" w:space="0" w:color="auto"/>
            </w:tcBorders>
            <w:shd w:val="clear" w:color="000000" w:fill="9BC2E6"/>
            <w:noWrap/>
            <w:vAlign w:val="bottom"/>
            <w:hideMark/>
          </w:tcPr>
          <w:p w14:paraId="66FE580E"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52.21</w:t>
            </w:r>
          </w:p>
        </w:tc>
        <w:tc>
          <w:tcPr>
            <w:tcW w:w="1097" w:type="dxa"/>
            <w:tcBorders>
              <w:top w:val="nil"/>
              <w:left w:val="nil"/>
              <w:bottom w:val="single" w:sz="4" w:space="0" w:color="auto"/>
              <w:right w:val="single" w:sz="4" w:space="0" w:color="auto"/>
            </w:tcBorders>
            <w:shd w:val="clear" w:color="000000" w:fill="9BC2E6"/>
            <w:noWrap/>
            <w:vAlign w:val="bottom"/>
            <w:hideMark/>
          </w:tcPr>
          <w:p w14:paraId="46850E4B"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63.46%</w:t>
            </w:r>
          </w:p>
        </w:tc>
      </w:tr>
      <w:tr w:rsidR="007F77F2" w:rsidRPr="007F77F2" w14:paraId="3312D33A"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F48365A"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carbic</w:t>
            </w:r>
          </w:p>
        </w:tc>
        <w:tc>
          <w:tcPr>
            <w:tcW w:w="2340" w:type="dxa"/>
            <w:tcBorders>
              <w:top w:val="nil"/>
              <w:left w:val="nil"/>
              <w:bottom w:val="single" w:sz="4" w:space="0" w:color="auto"/>
              <w:right w:val="single" w:sz="4" w:space="0" w:color="auto"/>
            </w:tcBorders>
            <w:shd w:val="clear" w:color="auto" w:fill="auto"/>
            <w:noWrap/>
            <w:vAlign w:val="bottom"/>
            <w:hideMark/>
          </w:tcPr>
          <w:p w14:paraId="6059DA02"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Bicknell's Sedge</w:t>
            </w:r>
          </w:p>
        </w:tc>
        <w:tc>
          <w:tcPr>
            <w:tcW w:w="2970" w:type="dxa"/>
            <w:tcBorders>
              <w:top w:val="nil"/>
              <w:left w:val="nil"/>
              <w:bottom w:val="single" w:sz="4" w:space="0" w:color="auto"/>
              <w:right w:val="single" w:sz="4" w:space="0" w:color="auto"/>
            </w:tcBorders>
            <w:shd w:val="clear" w:color="000000" w:fill="A9D08E"/>
            <w:noWrap/>
            <w:vAlign w:val="bottom"/>
            <w:hideMark/>
          </w:tcPr>
          <w:p w14:paraId="720D6B38"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Carex</w:t>
            </w:r>
            <w:proofErr w:type="spellEnd"/>
            <w:r w:rsidRPr="007F77F2">
              <w:rPr>
                <w:rFonts w:ascii="Arial" w:eastAsia="Times New Roman" w:hAnsi="Arial" w:cs="Arial"/>
                <w:color w:val="000000"/>
                <w:sz w:val="20"/>
                <w:szCs w:val="20"/>
              </w:rPr>
              <w:t xml:space="preserve"> </w:t>
            </w:r>
            <w:proofErr w:type="spellStart"/>
            <w:r w:rsidRPr="007F77F2">
              <w:rPr>
                <w:rFonts w:ascii="Arial" w:eastAsia="Times New Roman" w:hAnsi="Arial" w:cs="Arial"/>
                <w:color w:val="000000"/>
                <w:sz w:val="20"/>
                <w:szCs w:val="20"/>
              </w:rPr>
              <w:t>bicknellii</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07D7442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685E2292"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0.12%</w:t>
            </w:r>
          </w:p>
        </w:tc>
        <w:tc>
          <w:tcPr>
            <w:tcW w:w="1106" w:type="dxa"/>
            <w:tcBorders>
              <w:top w:val="nil"/>
              <w:left w:val="nil"/>
              <w:bottom w:val="single" w:sz="4" w:space="0" w:color="auto"/>
              <w:right w:val="single" w:sz="4" w:space="0" w:color="auto"/>
            </w:tcBorders>
            <w:shd w:val="clear" w:color="auto" w:fill="auto"/>
            <w:noWrap/>
            <w:vAlign w:val="bottom"/>
            <w:hideMark/>
          </w:tcPr>
          <w:p w14:paraId="7E6120CA"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0.19</w:t>
            </w:r>
          </w:p>
        </w:tc>
        <w:tc>
          <w:tcPr>
            <w:tcW w:w="1097" w:type="dxa"/>
            <w:tcBorders>
              <w:top w:val="nil"/>
              <w:left w:val="nil"/>
              <w:bottom w:val="single" w:sz="4" w:space="0" w:color="auto"/>
              <w:right w:val="single" w:sz="4" w:space="0" w:color="auto"/>
            </w:tcBorders>
            <w:shd w:val="clear" w:color="auto" w:fill="auto"/>
            <w:noWrap/>
            <w:vAlign w:val="bottom"/>
            <w:hideMark/>
          </w:tcPr>
          <w:p w14:paraId="6F33D8D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0.23%</w:t>
            </w:r>
          </w:p>
        </w:tc>
      </w:tr>
      <w:tr w:rsidR="007F77F2" w:rsidRPr="007F77F2" w14:paraId="522F48D2"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43E1C2D"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carbre</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0DCBEED3"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Plains Oval Sedge</w:t>
            </w:r>
          </w:p>
        </w:tc>
        <w:tc>
          <w:tcPr>
            <w:tcW w:w="2970" w:type="dxa"/>
            <w:tcBorders>
              <w:top w:val="nil"/>
              <w:left w:val="nil"/>
              <w:bottom w:val="single" w:sz="4" w:space="0" w:color="auto"/>
              <w:right w:val="single" w:sz="4" w:space="0" w:color="auto"/>
            </w:tcBorders>
            <w:shd w:val="clear" w:color="000000" w:fill="A9D08E"/>
            <w:noWrap/>
            <w:vAlign w:val="bottom"/>
            <w:hideMark/>
          </w:tcPr>
          <w:p w14:paraId="6395CD85"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Carex</w:t>
            </w:r>
            <w:proofErr w:type="spellEnd"/>
            <w:r w:rsidRPr="007F77F2">
              <w:rPr>
                <w:rFonts w:ascii="Arial" w:eastAsia="Times New Roman" w:hAnsi="Arial" w:cs="Arial"/>
                <w:color w:val="000000"/>
                <w:sz w:val="20"/>
                <w:szCs w:val="20"/>
              </w:rPr>
              <w:t xml:space="preserve"> </w:t>
            </w:r>
            <w:proofErr w:type="spellStart"/>
            <w:r w:rsidRPr="007F77F2">
              <w:rPr>
                <w:rFonts w:ascii="Arial" w:eastAsia="Times New Roman" w:hAnsi="Arial" w:cs="Arial"/>
                <w:color w:val="000000"/>
                <w:sz w:val="20"/>
                <w:szCs w:val="20"/>
              </w:rPr>
              <w:t>brevior</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04FA625A"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149BD3EA"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0.24%</w:t>
            </w:r>
          </w:p>
        </w:tc>
        <w:tc>
          <w:tcPr>
            <w:tcW w:w="1106" w:type="dxa"/>
            <w:tcBorders>
              <w:top w:val="nil"/>
              <w:left w:val="nil"/>
              <w:bottom w:val="single" w:sz="4" w:space="0" w:color="auto"/>
              <w:right w:val="single" w:sz="4" w:space="0" w:color="auto"/>
            </w:tcBorders>
            <w:shd w:val="clear" w:color="auto" w:fill="auto"/>
            <w:noWrap/>
            <w:vAlign w:val="bottom"/>
            <w:hideMark/>
          </w:tcPr>
          <w:p w14:paraId="391D7AD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0.64</w:t>
            </w:r>
          </w:p>
        </w:tc>
        <w:tc>
          <w:tcPr>
            <w:tcW w:w="1097" w:type="dxa"/>
            <w:tcBorders>
              <w:top w:val="nil"/>
              <w:left w:val="nil"/>
              <w:bottom w:val="single" w:sz="4" w:space="0" w:color="auto"/>
              <w:right w:val="single" w:sz="4" w:space="0" w:color="auto"/>
            </w:tcBorders>
            <w:shd w:val="clear" w:color="auto" w:fill="auto"/>
            <w:noWrap/>
            <w:vAlign w:val="bottom"/>
            <w:hideMark/>
          </w:tcPr>
          <w:p w14:paraId="3AFE8B35"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0.78%</w:t>
            </w:r>
          </w:p>
        </w:tc>
      </w:tr>
      <w:tr w:rsidR="007F77F2" w:rsidRPr="007F77F2" w14:paraId="10795AF5"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B096E96"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cypsch</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33E46994"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Schweinitz's</w:t>
            </w:r>
            <w:proofErr w:type="spellEnd"/>
            <w:r w:rsidRPr="007F77F2">
              <w:rPr>
                <w:rFonts w:ascii="Arial" w:eastAsia="Times New Roman" w:hAnsi="Arial" w:cs="Arial"/>
                <w:color w:val="000000"/>
                <w:sz w:val="20"/>
                <w:szCs w:val="20"/>
              </w:rPr>
              <w:t xml:space="preserve"> </w:t>
            </w:r>
            <w:proofErr w:type="spellStart"/>
            <w:r w:rsidRPr="007F77F2">
              <w:rPr>
                <w:rFonts w:ascii="Arial" w:eastAsia="Times New Roman" w:hAnsi="Arial" w:cs="Arial"/>
                <w:color w:val="000000"/>
                <w:sz w:val="20"/>
                <w:szCs w:val="20"/>
              </w:rPr>
              <w:t>Flatsedge</w:t>
            </w:r>
            <w:proofErr w:type="spellEnd"/>
          </w:p>
        </w:tc>
        <w:tc>
          <w:tcPr>
            <w:tcW w:w="2970" w:type="dxa"/>
            <w:tcBorders>
              <w:top w:val="nil"/>
              <w:left w:val="nil"/>
              <w:bottom w:val="single" w:sz="4" w:space="0" w:color="auto"/>
              <w:right w:val="single" w:sz="4" w:space="0" w:color="auto"/>
            </w:tcBorders>
            <w:shd w:val="clear" w:color="000000" w:fill="A9D08E"/>
            <w:noWrap/>
            <w:vAlign w:val="bottom"/>
            <w:hideMark/>
          </w:tcPr>
          <w:p w14:paraId="5CB31A9F"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Cyperus </w:t>
            </w:r>
            <w:proofErr w:type="spellStart"/>
            <w:r w:rsidRPr="007F77F2">
              <w:rPr>
                <w:rFonts w:ascii="Arial" w:eastAsia="Times New Roman" w:hAnsi="Arial" w:cs="Arial"/>
                <w:color w:val="000000"/>
                <w:sz w:val="20"/>
                <w:szCs w:val="20"/>
              </w:rPr>
              <w:t>schweinitzii</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5E112704"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5312BBD0"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0.24%</w:t>
            </w:r>
          </w:p>
        </w:tc>
        <w:tc>
          <w:tcPr>
            <w:tcW w:w="1106" w:type="dxa"/>
            <w:tcBorders>
              <w:top w:val="nil"/>
              <w:left w:val="nil"/>
              <w:bottom w:val="single" w:sz="4" w:space="0" w:color="auto"/>
              <w:right w:val="single" w:sz="4" w:space="0" w:color="auto"/>
            </w:tcBorders>
            <w:shd w:val="clear" w:color="auto" w:fill="auto"/>
            <w:noWrap/>
            <w:vAlign w:val="bottom"/>
            <w:hideMark/>
          </w:tcPr>
          <w:p w14:paraId="10BC01F7"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0.94</w:t>
            </w:r>
          </w:p>
        </w:tc>
        <w:tc>
          <w:tcPr>
            <w:tcW w:w="1097" w:type="dxa"/>
            <w:tcBorders>
              <w:top w:val="nil"/>
              <w:left w:val="nil"/>
              <w:bottom w:val="single" w:sz="4" w:space="0" w:color="auto"/>
              <w:right w:val="single" w:sz="4" w:space="0" w:color="auto"/>
            </w:tcBorders>
            <w:shd w:val="clear" w:color="auto" w:fill="auto"/>
            <w:noWrap/>
            <w:vAlign w:val="bottom"/>
            <w:hideMark/>
          </w:tcPr>
          <w:p w14:paraId="17A42DAF"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1.14%</w:t>
            </w:r>
          </w:p>
        </w:tc>
      </w:tr>
      <w:tr w:rsidR="007F77F2" w:rsidRPr="007F77F2" w14:paraId="10CD0B17" w14:textId="77777777" w:rsidTr="003D7F79">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1AA32E51"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w:t>
            </w:r>
          </w:p>
        </w:tc>
        <w:tc>
          <w:tcPr>
            <w:tcW w:w="2340" w:type="dxa"/>
            <w:tcBorders>
              <w:top w:val="nil"/>
              <w:left w:val="nil"/>
              <w:bottom w:val="single" w:sz="4" w:space="0" w:color="auto"/>
              <w:right w:val="single" w:sz="4" w:space="0" w:color="auto"/>
            </w:tcBorders>
            <w:shd w:val="clear" w:color="000000" w:fill="9BC2E6"/>
            <w:noWrap/>
            <w:vAlign w:val="bottom"/>
            <w:hideMark/>
          </w:tcPr>
          <w:p w14:paraId="01348D94"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w:t>
            </w:r>
          </w:p>
        </w:tc>
        <w:tc>
          <w:tcPr>
            <w:tcW w:w="2970" w:type="dxa"/>
            <w:tcBorders>
              <w:top w:val="nil"/>
              <w:left w:val="nil"/>
              <w:bottom w:val="single" w:sz="4" w:space="0" w:color="auto"/>
              <w:right w:val="single" w:sz="4" w:space="0" w:color="auto"/>
            </w:tcBorders>
            <w:shd w:val="clear" w:color="000000" w:fill="9BC2E6"/>
            <w:noWrap/>
            <w:vAlign w:val="bottom"/>
            <w:hideMark/>
          </w:tcPr>
          <w:p w14:paraId="58282A6D"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Sedges &amp; Rushes Subtotal</w:t>
            </w:r>
          </w:p>
        </w:tc>
        <w:tc>
          <w:tcPr>
            <w:tcW w:w="810" w:type="dxa"/>
            <w:tcBorders>
              <w:top w:val="nil"/>
              <w:left w:val="nil"/>
              <w:bottom w:val="single" w:sz="4" w:space="0" w:color="auto"/>
              <w:right w:val="single" w:sz="4" w:space="0" w:color="auto"/>
            </w:tcBorders>
            <w:shd w:val="clear" w:color="000000" w:fill="9BC2E6"/>
            <w:noWrap/>
            <w:vAlign w:val="bottom"/>
            <w:hideMark/>
          </w:tcPr>
          <w:p w14:paraId="17F07244"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0.15</w:t>
            </w:r>
          </w:p>
        </w:tc>
        <w:tc>
          <w:tcPr>
            <w:tcW w:w="1260" w:type="dxa"/>
            <w:tcBorders>
              <w:top w:val="nil"/>
              <w:left w:val="nil"/>
              <w:bottom w:val="single" w:sz="4" w:space="0" w:color="auto"/>
              <w:right w:val="single" w:sz="4" w:space="0" w:color="auto"/>
            </w:tcBorders>
            <w:shd w:val="clear" w:color="000000" w:fill="9BC2E6"/>
            <w:noWrap/>
            <w:vAlign w:val="bottom"/>
            <w:hideMark/>
          </w:tcPr>
          <w:p w14:paraId="7E5C5166"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0.61%</w:t>
            </w:r>
          </w:p>
        </w:tc>
        <w:tc>
          <w:tcPr>
            <w:tcW w:w="1106" w:type="dxa"/>
            <w:tcBorders>
              <w:top w:val="nil"/>
              <w:left w:val="nil"/>
              <w:bottom w:val="single" w:sz="4" w:space="0" w:color="auto"/>
              <w:right w:val="single" w:sz="4" w:space="0" w:color="auto"/>
            </w:tcBorders>
            <w:shd w:val="clear" w:color="000000" w:fill="9BC2E6"/>
            <w:noWrap/>
            <w:vAlign w:val="bottom"/>
            <w:hideMark/>
          </w:tcPr>
          <w:p w14:paraId="36ABA6D3"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1.77</w:t>
            </w:r>
          </w:p>
        </w:tc>
        <w:tc>
          <w:tcPr>
            <w:tcW w:w="1097" w:type="dxa"/>
            <w:tcBorders>
              <w:top w:val="nil"/>
              <w:left w:val="nil"/>
              <w:bottom w:val="single" w:sz="4" w:space="0" w:color="auto"/>
              <w:right w:val="single" w:sz="4" w:space="0" w:color="auto"/>
            </w:tcBorders>
            <w:shd w:val="clear" w:color="000000" w:fill="9BC2E6"/>
            <w:noWrap/>
            <w:vAlign w:val="bottom"/>
            <w:hideMark/>
          </w:tcPr>
          <w:p w14:paraId="722BAE5D"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2.15%</w:t>
            </w:r>
          </w:p>
        </w:tc>
      </w:tr>
      <w:tr w:rsidR="007F77F2" w:rsidRPr="007F77F2" w14:paraId="44CBDF1E"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52F3B03"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achmil</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1FF7AAC6"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Common Yarrow</w:t>
            </w:r>
          </w:p>
        </w:tc>
        <w:tc>
          <w:tcPr>
            <w:tcW w:w="2970" w:type="dxa"/>
            <w:tcBorders>
              <w:top w:val="nil"/>
              <w:left w:val="nil"/>
              <w:bottom w:val="single" w:sz="4" w:space="0" w:color="auto"/>
              <w:right w:val="single" w:sz="4" w:space="0" w:color="auto"/>
            </w:tcBorders>
            <w:shd w:val="clear" w:color="000000" w:fill="A9D08E"/>
            <w:noWrap/>
            <w:vAlign w:val="bottom"/>
            <w:hideMark/>
          </w:tcPr>
          <w:p w14:paraId="7B5F28BF"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Achillea millefolium</w:t>
            </w:r>
          </w:p>
        </w:tc>
        <w:tc>
          <w:tcPr>
            <w:tcW w:w="810" w:type="dxa"/>
            <w:tcBorders>
              <w:top w:val="nil"/>
              <w:left w:val="nil"/>
              <w:bottom w:val="single" w:sz="4" w:space="0" w:color="auto"/>
              <w:right w:val="single" w:sz="4" w:space="0" w:color="auto"/>
            </w:tcBorders>
            <w:shd w:val="clear" w:color="auto" w:fill="auto"/>
            <w:noWrap/>
            <w:vAlign w:val="bottom"/>
            <w:hideMark/>
          </w:tcPr>
          <w:p w14:paraId="0CAB17C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1ABC18D1"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0.12%</w:t>
            </w:r>
          </w:p>
        </w:tc>
        <w:tc>
          <w:tcPr>
            <w:tcW w:w="1106" w:type="dxa"/>
            <w:tcBorders>
              <w:top w:val="nil"/>
              <w:left w:val="nil"/>
              <w:bottom w:val="single" w:sz="4" w:space="0" w:color="auto"/>
              <w:right w:val="single" w:sz="4" w:space="0" w:color="auto"/>
            </w:tcBorders>
            <w:shd w:val="clear" w:color="auto" w:fill="auto"/>
            <w:noWrap/>
            <w:vAlign w:val="bottom"/>
            <w:hideMark/>
          </w:tcPr>
          <w:p w14:paraId="3D10D681"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1.96</w:t>
            </w:r>
          </w:p>
        </w:tc>
        <w:tc>
          <w:tcPr>
            <w:tcW w:w="1097" w:type="dxa"/>
            <w:tcBorders>
              <w:top w:val="nil"/>
              <w:left w:val="nil"/>
              <w:bottom w:val="single" w:sz="4" w:space="0" w:color="auto"/>
              <w:right w:val="single" w:sz="4" w:space="0" w:color="auto"/>
            </w:tcBorders>
            <w:shd w:val="clear" w:color="auto" w:fill="auto"/>
            <w:noWrap/>
            <w:vAlign w:val="bottom"/>
            <w:hideMark/>
          </w:tcPr>
          <w:p w14:paraId="4A01DEC4"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2.39%</w:t>
            </w:r>
          </w:p>
        </w:tc>
      </w:tr>
      <w:tr w:rsidR="007F77F2" w:rsidRPr="007F77F2" w14:paraId="3546EF61"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C3B5A8A"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allste</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6C0D3566"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Prairie Onion</w:t>
            </w:r>
          </w:p>
        </w:tc>
        <w:tc>
          <w:tcPr>
            <w:tcW w:w="2970" w:type="dxa"/>
            <w:tcBorders>
              <w:top w:val="nil"/>
              <w:left w:val="nil"/>
              <w:bottom w:val="single" w:sz="4" w:space="0" w:color="auto"/>
              <w:right w:val="single" w:sz="4" w:space="0" w:color="auto"/>
            </w:tcBorders>
            <w:shd w:val="clear" w:color="000000" w:fill="A9D08E"/>
            <w:noWrap/>
            <w:vAlign w:val="bottom"/>
            <w:hideMark/>
          </w:tcPr>
          <w:p w14:paraId="51C67F04"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Allium </w:t>
            </w:r>
            <w:proofErr w:type="spellStart"/>
            <w:r w:rsidRPr="007F77F2">
              <w:rPr>
                <w:rFonts w:ascii="Arial" w:eastAsia="Times New Roman" w:hAnsi="Arial" w:cs="Arial"/>
                <w:color w:val="000000"/>
                <w:sz w:val="20"/>
                <w:szCs w:val="20"/>
              </w:rPr>
              <w:t>stellatum</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4703AB1F"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72C8A8F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0.24%</w:t>
            </w:r>
          </w:p>
        </w:tc>
        <w:tc>
          <w:tcPr>
            <w:tcW w:w="1106" w:type="dxa"/>
            <w:tcBorders>
              <w:top w:val="nil"/>
              <w:left w:val="nil"/>
              <w:bottom w:val="single" w:sz="4" w:space="0" w:color="auto"/>
              <w:right w:val="single" w:sz="4" w:space="0" w:color="auto"/>
            </w:tcBorders>
            <w:shd w:val="clear" w:color="auto" w:fill="auto"/>
            <w:noWrap/>
            <w:vAlign w:val="bottom"/>
            <w:hideMark/>
          </w:tcPr>
          <w:p w14:paraId="1706EA5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0.24</w:t>
            </w:r>
          </w:p>
        </w:tc>
        <w:tc>
          <w:tcPr>
            <w:tcW w:w="1097" w:type="dxa"/>
            <w:tcBorders>
              <w:top w:val="nil"/>
              <w:left w:val="nil"/>
              <w:bottom w:val="single" w:sz="4" w:space="0" w:color="auto"/>
              <w:right w:val="single" w:sz="4" w:space="0" w:color="auto"/>
            </w:tcBorders>
            <w:shd w:val="clear" w:color="auto" w:fill="auto"/>
            <w:noWrap/>
            <w:vAlign w:val="bottom"/>
            <w:hideMark/>
          </w:tcPr>
          <w:p w14:paraId="7F59DB81"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0.29%</w:t>
            </w:r>
          </w:p>
        </w:tc>
      </w:tr>
      <w:tr w:rsidR="007F77F2" w:rsidRPr="007F77F2" w14:paraId="1EAEF640"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D5A3E77"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amocan</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0A1B6075"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Lead Plant</w:t>
            </w:r>
          </w:p>
        </w:tc>
        <w:tc>
          <w:tcPr>
            <w:tcW w:w="2970" w:type="dxa"/>
            <w:tcBorders>
              <w:top w:val="nil"/>
              <w:left w:val="nil"/>
              <w:bottom w:val="single" w:sz="4" w:space="0" w:color="auto"/>
              <w:right w:val="single" w:sz="4" w:space="0" w:color="auto"/>
            </w:tcBorders>
            <w:shd w:val="clear" w:color="000000" w:fill="A9D08E"/>
            <w:noWrap/>
            <w:vAlign w:val="bottom"/>
            <w:hideMark/>
          </w:tcPr>
          <w:p w14:paraId="57501A7B"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Amorpha </w:t>
            </w:r>
            <w:proofErr w:type="spellStart"/>
            <w:r w:rsidRPr="007F77F2">
              <w:rPr>
                <w:rFonts w:ascii="Arial" w:eastAsia="Times New Roman" w:hAnsi="Arial" w:cs="Arial"/>
                <w:color w:val="000000"/>
                <w:sz w:val="20"/>
                <w:szCs w:val="20"/>
              </w:rPr>
              <w:t>canescens</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3714C071"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0.07</w:t>
            </w:r>
          </w:p>
        </w:tc>
        <w:tc>
          <w:tcPr>
            <w:tcW w:w="1260" w:type="dxa"/>
            <w:tcBorders>
              <w:top w:val="nil"/>
              <w:left w:val="nil"/>
              <w:bottom w:val="single" w:sz="4" w:space="0" w:color="auto"/>
              <w:right w:val="single" w:sz="4" w:space="0" w:color="auto"/>
            </w:tcBorders>
            <w:shd w:val="clear" w:color="auto" w:fill="auto"/>
            <w:noWrap/>
            <w:vAlign w:val="bottom"/>
            <w:hideMark/>
          </w:tcPr>
          <w:p w14:paraId="32278E23"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0.28%</w:t>
            </w:r>
          </w:p>
        </w:tc>
        <w:tc>
          <w:tcPr>
            <w:tcW w:w="1106" w:type="dxa"/>
            <w:tcBorders>
              <w:top w:val="nil"/>
              <w:left w:val="nil"/>
              <w:bottom w:val="single" w:sz="4" w:space="0" w:color="auto"/>
              <w:right w:val="single" w:sz="4" w:space="0" w:color="auto"/>
            </w:tcBorders>
            <w:shd w:val="clear" w:color="auto" w:fill="auto"/>
            <w:noWrap/>
            <w:vAlign w:val="bottom"/>
            <w:hideMark/>
          </w:tcPr>
          <w:p w14:paraId="32849B73"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0.31</w:t>
            </w:r>
          </w:p>
        </w:tc>
        <w:tc>
          <w:tcPr>
            <w:tcW w:w="1097" w:type="dxa"/>
            <w:tcBorders>
              <w:top w:val="nil"/>
              <w:left w:val="nil"/>
              <w:bottom w:val="single" w:sz="4" w:space="0" w:color="auto"/>
              <w:right w:val="single" w:sz="4" w:space="0" w:color="auto"/>
            </w:tcBorders>
            <w:shd w:val="clear" w:color="auto" w:fill="auto"/>
            <w:noWrap/>
            <w:vAlign w:val="bottom"/>
            <w:hideMark/>
          </w:tcPr>
          <w:p w14:paraId="244C503D"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0.38%</w:t>
            </w:r>
          </w:p>
        </w:tc>
      </w:tr>
      <w:tr w:rsidR="007F77F2" w:rsidRPr="007F77F2" w14:paraId="20EA0484"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929B0AB"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aqucan</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0F6B6B89"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Wild Columbine</w:t>
            </w:r>
          </w:p>
        </w:tc>
        <w:tc>
          <w:tcPr>
            <w:tcW w:w="2970" w:type="dxa"/>
            <w:tcBorders>
              <w:top w:val="nil"/>
              <w:left w:val="nil"/>
              <w:bottom w:val="single" w:sz="4" w:space="0" w:color="auto"/>
              <w:right w:val="single" w:sz="4" w:space="0" w:color="auto"/>
            </w:tcBorders>
            <w:shd w:val="clear" w:color="000000" w:fill="A9D08E"/>
            <w:noWrap/>
            <w:vAlign w:val="bottom"/>
            <w:hideMark/>
          </w:tcPr>
          <w:p w14:paraId="27093153"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Aquilegia canadensis</w:t>
            </w:r>
          </w:p>
        </w:tc>
        <w:tc>
          <w:tcPr>
            <w:tcW w:w="810" w:type="dxa"/>
            <w:tcBorders>
              <w:top w:val="nil"/>
              <w:left w:val="nil"/>
              <w:bottom w:val="single" w:sz="4" w:space="0" w:color="auto"/>
              <w:right w:val="single" w:sz="4" w:space="0" w:color="auto"/>
            </w:tcBorders>
            <w:shd w:val="clear" w:color="auto" w:fill="auto"/>
            <w:noWrap/>
            <w:vAlign w:val="bottom"/>
            <w:hideMark/>
          </w:tcPr>
          <w:p w14:paraId="26B60CBA"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311311AA"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0.08%</w:t>
            </w:r>
          </w:p>
        </w:tc>
        <w:tc>
          <w:tcPr>
            <w:tcW w:w="1106" w:type="dxa"/>
            <w:tcBorders>
              <w:top w:val="nil"/>
              <w:left w:val="nil"/>
              <w:bottom w:val="single" w:sz="4" w:space="0" w:color="auto"/>
              <w:right w:val="single" w:sz="4" w:space="0" w:color="auto"/>
            </w:tcBorders>
            <w:shd w:val="clear" w:color="auto" w:fill="auto"/>
            <w:noWrap/>
            <w:vAlign w:val="bottom"/>
            <w:hideMark/>
          </w:tcPr>
          <w:p w14:paraId="4399754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0.28</w:t>
            </w:r>
          </w:p>
        </w:tc>
        <w:tc>
          <w:tcPr>
            <w:tcW w:w="1097" w:type="dxa"/>
            <w:tcBorders>
              <w:top w:val="nil"/>
              <w:left w:val="nil"/>
              <w:bottom w:val="single" w:sz="4" w:space="0" w:color="auto"/>
              <w:right w:val="single" w:sz="4" w:space="0" w:color="auto"/>
            </w:tcBorders>
            <w:shd w:val="clear" w:color="auto" w:fill="auto"/>
            <w:noWrap/>
            <w:vAlign w:val="bottom"/>
            <w:hideMark/>
          </w:tcPr>
          <w:p w14:paraId="713532C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0.34%</w:t>
            </w:r>
          </w:p>
        </w:tc>
      </w:tr>
      <w:tr w:rsidR="007F77F2" w:rsidRPr="007F77F2" w14:paraId="7C581E82"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CBBF81F"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asctub</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622A91A1"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Butterfly Milkweed</w:t>
            </w:r>
          </w:p>
        </w:tc>
        <w:tc>
          <w:tcPr>
            <w:tcW w:w="2970" w:type="dxa"/>
            <w:tcBorders>
              <w:top w:val="nil"/>
              <w:left w:val="nil"/>
              <w:bottom w:val="single" w:sz="4" w:space="0" w:color="auto"/>
              <w:right w:val="single" w:sz="4" w:space="0" w:color="auto"/>
            </w:tcBorders>
            <w:shd w:val="clear" w:color="000000" w:fill="A9D08E"/>
            <w:noWrap/>
            <w:vAlign w:val="bottom"/>
            <w:hideMark/>
          </w:tcPr>
          <w:p w14:paraId="1621BB90"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Asclepias tuberosa</w:t>
            </w:r>
          </w:p>
        </w:tc>
        <w:tc>
          <w:tcPr>
            <w:tcW w:w="810" w:type="dxa"/>
            <w:tcBorders>
              <w:top w:val="nil"/>
              <w:left w:val="nil"/>
              <w:bottom w:val="single" w:sz="4" w:space="0" w:color="auto"/>
              <w:right w:val="single" w:sz="4" w:space="0" w:color="auto"/>
            </w:tcBorders>
            <w:shd w:val="clear" w:color="auto" w:fill="auto"/>
            <w:noWrap/>
            <w:vAlign w:val="bottom"/>
            <w:hideMark/>
          </w:tcPr>
          <w:p w14:paraId="27253045"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58B9A04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0.24%</w:t>
            </w:r>
          </w:p>
        </w:tc>
        <w:tc>
          <w:tcPr>
            <w:tcW w:w="1106" w:type="dxa"/>
            <w:tcBorders>
              <w:top w:val="nil"/>
              <w:left w:val="nil"/>
              <w:bottom w:val="single" w:sz="4" w:space="0" w:color="auto"/>
              <w:right w:val="single" w:sz="4" w:space="0" w:color="auto"/>
            </w:tcBorders>
            <w:shd w:val="clear" w:color="auto" w:fill="auto"/>
            <w:noWrap/>
            <w:vAlign w:val="bottom"/>
            <w:hideMark/>
          </w:tcPr>
          <w:p w14:paraId="6447B6FC"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0.09</w:t>
            </w:r>
          </w:p>
        </w:tc>
        <w:tc>
          <w:tcPr>
            <w:tcW w:w="1097" w:type="dxa"/>
            <w:tcBorders>
              <w:top w:val="nil"/>
              <w:left w:val="nil"/>
              <w:bottom w:val="single" w:sz="4" w:space="0" w:color="auto"/>
              <w:right w:val="single" w:sz="4" w:space="0" w:color="auto"/>
            </w:tcBorders>
            <w:shd w:val="clear" w:color="auto" w:fill="auto"/>
            <w:noWrap/>
            <w:vAlign w:val="bottom"/>
            <w:hideMark/>
          </w:tcPr>
          <w:p w14:paraId="2E43DBE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0.12%</w:t>
            </w:r>
          </w:p>
        </w:tc>
      </w:tr>
      <w:tr w:rsidR="007F77F2" w:rsidRPr="007F77F2" w14:paraId="64AA027F"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B974927"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lastRenderedPageBreak/>
              <w:t>ascver</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55DE349C"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Whorled Milkweed</w:t>
            </w:r>
          </w:p>
        </w:tc>
        <w:tc>
          <w:tcPr>
            <w:tcW w:w="2970" w:type="dxa"/>
            <w:tcBorders>
              <w:top w:val="nil"/>
              <w:left w:val="nil"/>
              <w:bottom w:val="single" w:sz="4" w:space="0" w:color="auto"/>
              <w:right w:val="single" w:sz="4" w:space="0" w:color="auto"/>
            </w:tcBorders>
            <w:shd w:val="clear" w:color="000000" w:fill="A9D08E"/>
            <w:noWrap/>
            <w:vAlign w:val="bottom"/>
            <w:hideMark/>
          </w:tcPr>
          <w:p w14:paraId="48951D89"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Asclepias </w:t>
            </w:r>
            <w:proofErr w:type="spellStart"/>
            <w:r w:rsidRPr="007F77F2">
              <w:rPr>
                <w:rFonts w:ascii="Arial" w:eastAsia="Times New Roman" w:hAnsi="Arial" w:cs="Arial"/>
                <w:color w:val="000000"/>
                <w:sz w:val="20"/>
                <w:szCs w:val="20"/>
              </w:rPr>
              <w:t>verticillata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1B9AFAF2"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0.04</w:t>
            </w:r>
          </w:p>
        </w:tc>
        <w:tc>
          <w:tcPr>
            <w:tcW w:w="1260" w:type="dxa"/>
            <w:tcBorders>
              <w:top w:val="nil"/>
              <w:left w:val="nil"/>
              <w:bottom w:val="single" w:sz="4" w:space="0" w:color="auto"/>
              <w:right w:val="single" w:sz="4" w:space="0" w:color="auto"/>
            </w:tcBorders>
            <w:shd w:val="clear" w:color="auto" w:fill="auto"/>
            <w:noWrap/>
            <w:vAlign w:val="bottom"/>
            <w:hideMark/>
          </w:tcPr>
          <w:p w14:paraId="2399D827"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0.16%</w:t>
            </w:r>
          </w:p>
        </w:tc>
        <w:tc>
          <w:tcPr>
            <w:tcW w:w="1106" w:type="dxa"/>
            <w:tcBorders>
              <w:top w:val="nil"/>
              <w:left w:val="nil"/>
              <w:bottom w:val="single" w:sz="4" w:space="0" w:color="auto"/>
              <w:right w:val="single" w:sz="4" w:space="0" w:color="auto"/>
            </w:tcBorders>
            <w:shd w:val="clear" w:color="auto" w:fill="auto"/>
            <w:noWrap/>
            <w:vAlign w:val="bottom"/>
            <w:hideMark/>
          </w:tcPr>
          <w:p w14:paraId="60061985"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0.16</w:t>
            </w:r>
          </w:p>
        </w:tc>
        <w:tc>
          <w:tcPr>
            <w:tcW w:w="1097" w:type="dxa"/>
            <w:tcBorders>
              <w:top w:val="nil"/>
              <w:left w:val="nil"/>
              <w:bottom w:val="single" w:sz="4" w:space="0" w:color="auto"/>
              <w:right w:val="single" w:sz="4" w:space="0" w:color="auto"/>
            </w:tcBorders>
            <w:shd w:val="clear" w:color="auto" w:fill="auto"/>
            <w:noWrap/>
            <w:vAlign w:val="bottom"/>
            <w:hideMark/>
          </w:tcPr>
          <w:p w14:paraId="650DFCD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0.20%</w:t>
            </w:r>
          </w:p>
        </w:tc>
      </w:tr>
      <w:tr w:rsidR="007F77F2" w:rsidRPr="007F77F2" w14:paraId="481CCE40"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92EB107"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chafas</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3F4A5327"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Partridge Pea</w:t>
            </w:r>
          </w:p>
        </w:tc>
        <w:tc>
          <w:tcPr>
            <w:tcW w:w="2970" w:type="dxa"/>
            <w:tcBorders>
              <w:top w:val="nil"/>
              <w:left w:val="nil"/>
              <w:bottom w:val="single" w:sz="4" w:space="0" w:color="auto"/>
              <w:right w:val="single" w:sz="4" w:space="0" w:color="auto"/>
            </w:tcBorders>
            <w:shd w:val="clear" w:color="000000" w:fill="A9D08E"/>
            <w:noWrap/>
            <w:vAlign w:val="bottom"/>
            <w:hideMark/>
          </w:tcPr>
          <w:p w14:paraId="2164D171"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Chamaecrista</w:t>
            </w:r>
            <w:proofErr w:type="spellEnd"/>
            <w:r w:rsidRPr="007F77F2">
              <w:rPr>
                <w:rFonts w:ascii="Arial" w:eastAsia="Times New Roman" w:hAnsi="Arial" w:cs="Arial"/>
                <w:color w:val="000000"/>
                <w:sz w:val="20"/>
                <w:szCs w:val="20"/>
              </w:rPr>
              <w:t xml:space="preserve"> fasciculata</w:t>
            </w:r>
          </w:p>
        </w:tc>
        <w:tc>
          <w:tcPr>
            <w:tcW w:w="810" w:type="dxa"/>
            <w:tcBorders>
              <w:top w:val="nil"/>
              <w:left w:val="nil"/>
              <w:bottom w:val="single" w:sz="4" w:space="0" w:color="auto"/>
              <w:right w:val="single" w:sz="4" w:space="0" w:color="auto"/>
            </w:tcBorders>
            <w:shd w:val="clear" w:color="auto" w:fill="auto"/>
            <w:noWrap/>
            <w:vAlign w:val="bottom"/>
            <w:hideMark/>
          </w:tcPr>
          <w:p w14:paraId="33C3A07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72EFA27C"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1.22%</w:t>
            </w:r>
          </w:p>
        </w:tc>
        <w:tc>
          <w:tcPr>
            <w:tcW w:w="1106" w:type="dxa"/>
            <w:tcBorders>
              <w:top w:val="nil"/>
              <w:left w:val="nil"/>
              <w:bottom w:val="single" w:sz="4" w:space="0" w:color="auto"/>
              <w:right w:val="single" w:sz="4" w:space="0" w:color="auto"/>
            </w:tcBorders>
            <w:shd w:val="clear" w:color="auto" w:fill="auto"/>
            <w:noWrap/>
            <w:vAlign w:val="bottom"/>
            <w:hideMark/>
          </w:tcPr>
          <w:p w14:paraId="6E39642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0.30</w:t>
            </w:r>
          </w:p>
        </w:tc>
        <w:tc>
          <w:tcPr>
            <w:tcW w:w="1097" w:type="dxa"/>
            <w:tcBorders>
              <w:top w:val="nil"/>
              <w:left w:val="nil"/>
              <w:bottom w:val="single" w:sz="4" w:space="0" w:color="auto"/>
              <w:right w:val="single" w:sz="4" w:space="0" w:color="auto"/>
            </w:tcBorders>
            <w:shd w:val="clear" w:color="auto" w:fill="auto"/>
            <w:noWrap/>
            <w:vAlign w:val="bottom"/>
            <w:hideMark/>
          </w:tcPr>
          <w:p w14:paraId="2AC44F23"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0.36%</w:t>
            </w:r>
          </w:p>
        </w:tc>
      </w:tr>
      <w:tr w:rsidR="007F77F2" w:rsidRPr="007F77F2" w14:paraId="7754E973"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421539B"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dalcan</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5D91196E"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White Prairie Clover</w:t>
            </w:r>
          </w:p>
        </w:tc>
        <w:tc>
          <w:tcPr>
            <w:tcW w:w="2970" w:type="dxa"/>
            <w:tcBorders>
              <w:top w:val="nil"/>
              <w:left w:val="nil"/>
              <w:bottom w:val="single" w:sz="4" w:space="0" w:color="auto"/>
              <w:right w:val="single" w:sz="4" w:space="0" w:color="auto"/>
            </w:tcBorders>
            <w:shd w:val="clear" w:color="000000" w:fill="A9D08E"/>
            <w:noWrap/>
            <w:vAlign w:val="bottom"/>
            <w:hideMark/>
          </w:tcPr>
          <w:p w14:paraId="22896CAD"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Dalea candida</w:t>
            </w:r>
          </w:p>
        </w:tc>
        <w:tc>
          <w:tcPr>
            <w:tcW w:w="810" w:type="dxa"/>
            <w:tcBorders>
              <w:top w:val="nil"/>
              <w:left w:val="nil"/>
              <w:bottom w:val="single" w:sz="4" w:space="0" w:color="auto"/>
              <w:right w:val="single" w:sz="4" w:space="0" w:color="auto"/>
            </w:tcBorders>
            <w:shd w:val="clear" w:color="auto" w:fill="auto"/>
            <w:noWrap/>
            <w:vAlign w:val="bottom"/>
            <w:hideMark/>
          </w:tcPr>
          <w:p w14:paraId="0D1AE8EA"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5C66181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1.22%</w:t>
            </w:r>
          </w:p>
        </w:tc>
        <w:tc>
          <w:tcPr>
            <w:tcW w:w="1106" w:type="dxa"/>
            <w:tcBorders>
              <w:top w:val="nil"/>
              <w:left w:val="nil"/>
              <w:bottom w:val="single" w:sz="4" w:space="0" w:color="auto"/>
              <w:right w:val="single" w:sz="4" w:space="0" w:color="auto"/>
            </w:tcBorders>
            <w:shd w:val="clear" w:color="auto" w:fill="auto"/>
            <w:noWrap/>
            <w:vAlign w:val="bottom"/>
            <w:hideMark/>
          </w:tcPr>
          <w:p w14:paraId="53B74EAC"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2.09</w:t>
            </w:r>
          </w:p>
        </w:tc>
        <w:tc>
          <w:tcPr>
            <w:tcW w:w="1097" w:type="dxa"/>
            <w:tcBorders>
              <w:top w:val="nil"/>
              <w:left w:val="nil"/>
              <w:bottom w:val="single" w:sz="4" w:space="0" w:color="auto"/>
              <w:right w:val="single" w:sz="4" w:space="0" w:color="auto"/>
            </w:tcBorders>
            <w:shd w:val="clear" w:color="auto" w:fill="auto"/>
            <w:noWrap/>
            <w:vAlign w:val="bottom"/>
            <w:hideMark/>
          </w:tcPr>
          <w:p w14:paraId="3A52034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2.54%</w:t>
            </w:r>
          </w:p>
        </w:tc>
      </w:tr>
      <w:tr w:rsidR="007F77F2" w:rsidRPr="007F77F2" w14:paraId="5634E1F6"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F8CCA21"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dalpur</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27331674"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Purple Prairie Clover</w:t>
            </w:r>
          </w:p>
        </w:tc>
        <w:tc>
          <w:tcPr>
            <w:tcW w:w="2970" w:type="dxa"/>
            <w:tcBorders>
              <w:top w:val="nil"/>
              <w:left w:val="nil"/>
              <w:bottom w:val="single" w:sz="4" w:space="0" w:color="auto"/>
              <w:right w:val="single" w:sz="4" w:space="0" w:color="auto"/>
            </w:tcBorders>
            <w:shd w:val="clear" w:color="000000" w:fill="A9D08E"/>
            <w:noWrap/>
            <w:vAlign w:val="bottom"/>
            <w:hideMark/>
          </w:tcPr>
          <w:p w14:paraId="6DF11809"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Dalea purpurea</w:t>
            </w:r>
          </w:p>
        </w:tc>
        <w:tc>
          <w:tcPr>
            <w:tcW w:w="810" w:type="dxa"/>
            <w:tcBorders>
              <w:top w:val="nil"/>
              <w:left w:val="nil"/>
              <w:bottom w:val="single" w:sz="4" w:space="0" w:color="auto"/>
              <w:right w:val="single" w:sz="4" w:space="0" w:color="auto"/>
            </w:tcBorders>
            <w:shd w:val="clear" w:color="auto" w:fill="auto"/>
            <w:noWrap/>
            <w:vAlign w:val="bottom"/>
            <w:hideMark/>
          </w:tcPr>
          <w:p w14:paraId="5533FE70"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0.41</w:t>
            </w:r>
          </w:p>
        </w:tc>
        <w:tc>
          <w:tcPr>
            <w:tcW w:w="1260" w:type="dxa"/>
            <w:tcBorders>
              <w:top w:val="nil"/>
              <w:left w:val="nil"/>
              <w:bottom w:val="single" w:sz="4" w:space="0" w:color="auto"/>
              <w:right w:val="single" w:sz="4" w:space="0" w:color="auto"/>
            </w:tcBorders>
            <w:shd w:val="clear" w:color="auto" w:fill="auto"/>
            <w:noWrap/>
            <w:vAlign w:val="bottom"/>
            <w:hideMark/>
          </w:tcPr>
          <w:p w14:paraId="46B5018D"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1.66%</w:t>
            </w:r>
          </w:p>
        </w:tc>
        <w:tc>
          <w:tcPr>
            <w:tcW w:w="1106" w:type="dxa"/>
            <w:tcBorders>
              <w:top w:val="nil"/>
              <w:left w:val="nil"/>
              <w:bottom w:val="single" w:sz="4" w:space="0" w:color="auto"/>
              <w:right w:val="single" w:sz="4" w:space="0" w:color="auto"/>
            </w:tcBorders>
            <w:shd w:val="clear" w:color="auto" w:fill="auto"/>
            <w:noWrap/>
            <w:vAlign w:val="bottom"/>
            <w:hideMark/>
          </w:tcPr>
          <w:p w14:paraId="2909698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2.26</w:t>
            </w:r>
          </w:p>
        </w:tc>
        <w:tc>
          <w:tcPr>
            <w:tcW w:w="1097" w:type="dxa"/>
            <w:tcBorders>
              <w:top w:val="nil"/>
              <w:left w:val="nil"/>
              <w:bottom w:val="single" w:sz="4" w:space="0" w:color="auto"/>
              <w:right w:val="single" w:sz="4" w:space="0" w:color="auto"/>
            </w:tcBorders>
            <w:shd w:val="clear" w:color="auto" w:fill="auto"/>
            <w:noWrap/>
            <w:vAlign w:val="bottom"/>
            <w:hideMark/>
          </w:tcPr>
          <w:p w14:paraId="6921F15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2.75%</w:t>
            </w:r>
          </w:p>
        </w:tc>
      </w:tr>
      <w:tr w:rsidR="007F77F2" w:rsidRPr="007F77F2" w14:paraId="7DEC8A33"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5CD7328"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dryarg</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75C7A8BC"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Prairie Cinquefoil</w:t>
            </w:r>
          </w:p>
        </w:tc>
        <w:tc>
          <w:tcPr>
            <w:tcW w:w="2970" w:type="dxa"/>
            <w:tcBorders>
              <w:top w:val="nil"/>
              <w:left w:val="nil"/>
              <w:bottom w:val="single" w:sz="4" w:space="0" w:color="auto"/>
              <w:right w:val="single" w:sz="4" w:space="0" w:color="auto"/>
            </w:tcBorders>
            <w:shd w:val="clear" w:color="000000" w:fill="A9D08E"/>
            <w:noWrap/>
            <w:vAlign w:val="bottom"/>
            <w:hideMark/>
          </w:tcPr>
          <w:p w14:paraId="07A12106"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Drymocallis</w:t>
            </w:r>
            <w:proofErr w:type="spellEnd"/>
            <w:r w:rsidRPr="007F77F2">
              <w:rPr>
                <w:rFonts w:ascii="Arial" w:eastAsia="Times New Roman" w:hAnsi="Arial" w:cs="Arial"/>
                <w:color w:val="000000"/>
                <w:sz w:val="20"/>
                <w:szCs w:val="20"/>
              </w:rPr>
              <w:t xml:space="preserve"> arguta</w:t>
            </w:r>
          </w:p>
        </w:tc>
        <w:tc>
          <w:tcPr>
            <w:tcW w:w="810" w:type="dxa"/>
            <w:tcBorders>
              <w:top w:val="nil"/>
              <w:left w:val="nil"/>
              <w:bottom w:val="single" w:sz="4" w:space="0" w:color="auto"/>
              <w:right w:val="single" w:sz="4" w:space="0" w:color="auto"/>
            </w:tcBorders>
            <w:shd w:val="clear" w:color="auto" w:fill="auto"/>
            <w:noWrap/>
            <w:vAlign w:val="bottom"/>
            <w:hideMark/>
          </w:tcPr>
          <w:p w14:paraId="4B7C85DF"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0.01</w:t>
            </w:r>
          </w:p>
        </w:tc>
        <w:tc>
          <w:tcPr>
            <w:tcW w:w="1260" w:type="dxa"/>
            <w:tcBorders>
              <w:top w:val="nil"/>
              <w:left w:val="nil"/>
              <w:bottom w:val="single" w:sz="4" w:space="0" w:color="auto"/>
              <w:right w:val="single" w:sz="4" w:space="0" w:color="auto"/>
            </w:tcBorders>
            <w:shd w:val="clear" w:color="auto" w:fill="auto"/>
            <w:noWrap/>
            <w:vAlign w:val="bottom"/>
            <w:hideMark/>
          </w:tcPr>
          <w:p w14:paraId="032899AD"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0.04%</w:t>
            </w:r>
          </w:p>
        </w:tc>
        <w:tc>
          <w:tcPr>
            <w:tcW w:w="1106" w:type="dxa"/>
            <w:tcBorders>
              <w:top w:val="nil"/>
              <w:left w:val="nil"/>
              <w:bottom w:val="single" w:sz="4" w:space="0" w:color="auto"/>
              <w:right w:val="single" w:sz="4" w:space="0" w:color="auto"/>
            </w:tcBorders>
            <w:shd w:val="clear" w:color="auto" w:fill="auto"/>
            <w:noWrap/>
            <w:vAlign w:val="bottom"/>
            <w:hideMark/>
          </w:tcPr>
          <w:p w14:paraId="479C3745"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0.84</w:t>
            </w:r>
          </w:p>
        </w:tc>
        <w:tc>
          <w:tcPr>
            <w:tcW w:w="1097" w:type="dxa"/>
            <w:tcBorders>
              <w:top w:val="nil"/>
              <w:left w:val="nil"/>
              <w:bottom w:val="single" w:sz="4" w:space="0" w:color="auto"/>
              <w:right w:val="single" w:sz="4" w:space="0" w:color="auto"/>
            </w:tcBorders>
            <w:shd w:val="clear" w:color="auto" w:fill="auto"/>
            <w:noWrap/>
            <w:vAlign w:val="bottom"/>
            <w:hideMark/>
          </w:tcPr>
          <w:p w14:paraId="4F013F77"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1.03%</w:t>
            </w:r>
          </w:p>
        </w:tc>
      </w:tr>
      <w:tr w:rsidR="007F77F2" w:rsidRPr="007F77F2" w14:paraId="656AB4AC"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67EBBCA"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echang</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76F7188F"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Narrow-leaved Coneflower</w:t>
            </w:r>
          </w:p>
        </w:tc>
        <w:tc>
          <w:tcPr>
            <w:tcW w:w="2970" w:type="dxa"/>
            <w:tcBorders>
              <w:top w:val="nil"/>
              <w:left w:val="nil"/>
              <w:bottom w:val="single" w:sz="4" w:space="0" w:color="auto"/>
              <w:right w:val="single" w:sz="4" w:space="0" w:color="auto"/>
            </w:tcBorders>
            <w:shd w:val="clear" w:color="000000" w:fill="A9D08E"/>
            <w:noWrap/>
            <w:vAlign w:val="bottom"/>
            <w:hideMark/>
          </w:tcPr>
          <w:p w14:paraId="0076209C"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Echinacea angustifolia</w:t>
            </w:r>
          </w:p>
        </w:tc>
        <w:tc>
          <w:tcPr>
            <w:tcW w:w="810" w:type="dxa"/>
            <w:tcBorders>
              <w:top w:val="nil"/>
              <w:left w:val="nil"/>
              <w:bottom w:val="single" w:sz="4" w:space="0" w:color="auto"/>
              <w:right w:val="single" w:sz="4" w:space="0" w:color="auto"/>
            </w:tcBorders>
            <w:shd w:val="clear" w:color="auto" w:fill="auto"/>
            <w:noWrap/>
            <w:vAlign w:val="bottom"/>
            <w:hideMark/>
          </w:tcPr>
          <w:p w14:paraId="4ECDC17C"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46849075"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0.12%</w:t>
            </w:r>
          </w:p>
        </w:tc>
        <w:tc>
          <w:tcPr>
            <w:tcW w:w="1106" w:type="dxa"/>
            <w:tcBorders>
              <w:top w:val="nil"/>
              <w:left w:val="nil"/>
              <w:bottom w:val="single" w:sz="4" w:space="0" w:color="auto"/>
              <w:right w:val="single" w:sz="4" w:space="0" w:color="auto"/>
            </w:tcBorders>
            <w:shd w:val="clear" w:color="auto" w:fill="auto"/>
            <w:noWrap/>
            <w:vAlign w:val="bottom"/>
            <w:hideMark/>
          </w:tcPr>
          <w:p w14:paraId="66A6B8B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0.08</w:t>
            </w:r>
          </w:p>
        </w:tc>
        <w:tc>
          <w:tcPr>
            <w:tcW w:w="1097" w:type="dxa"/>
            <w:tcBorders>
              <w:top w:val="nil"/>
              <w:left w:val="nil"/>
              <w:bottom w:val="single" w:sz="4" w:space="0" w:color="auto"/>
              <w:right w:val="single" w:sz="4" w:space="0" w:color="auto"/>
            </w:tcBorders>
            <w:shd w:val="clear" w:color="auto" w:fill="auto"/>
            <w:noWrap/>
            <w:vAlign w:val="bottom"/>
            <w:hideMark/>
          </w:tcPr>
          <w:p w14:paraId="250900A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0.09%</w:t>
            </w:r>
          </w:p>
        </w:tc>
      </w:tr>
      <w:tr w:rsidR="007F77F2" w:rsidRPr="007F77F2" w14:paraId="02988675"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A2188E"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geutri</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6A94D2E7"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Prairie Smoke</w:t>
            </w:r>
          </w:p>
        </w:tc>
        <w:tc>
          <w:tcPr>
            <w:tcW w:w="2970" w:type="dxa"/>
            <w:tcBorders>
              <w:top w:val="nil"/>
              <w:left w:val="nil"/>
              <w:bottom w:val="single" w:sz="4" w:space="0" w:color="auto"/>
              <w:right w:val="single" w:sz="4" w:space="0" w:color="auto"/>
            </w:tcBorders>
            <w:shd w:val="clear" w:color="000000" w:fill="A9D08E"/>
            <w:noWrap/>
            <w:vAlign w:val="bottom"/>
            <w:hideMark/>
          </w:tcPr>
          <w:p w14:paraId="6A6BE785"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Geum</w:t>
            </w:r>
            <w:proofErr w:type="spellEnd"/>
            <w:r w:rsidRPr="007F77F2">
              <w:rPr>
                <w:rFonts w:ascii="Arial" w:eastAsia="Times New Roman" w:hAnsi="Arial" w:cs="Arial"/>
                <w:color w:val="000000"/>
                <w:sz w:val="20"/>
                <w:szCs w:val="20"/>
              </w:rPr>
              <w:t xml:space="preserve"> </w:t>
            </w:r>
            <w:proofErr w:type="spellStart"/>
            <w:r w:rsidRPr="007F77F2">
              <w:rPr>
                <w:rFonts w:ascii="Arial" w:eastAsia="Times New Roman" w:hAnsi="Arial" w:cs="Arial"/>
                <w:color w:val="000000"/>
                <w:sz w:val="20"/>
                <w:szCs w:val="20"/>
              </w:rPr>
              <w:t>triflorum</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489DBFF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0.01</w:t>
            </w:r>
          </w:p>
        </w:tc>
        <w:tc>
          <w:tcPr>
            <w:tcW w:w="1260" w:type="dxa"/>
            <w:tcBorders>
              <w:top w:val="nil"/>
              <w:left w:val="nil"/>
              <w:bottom w:val="single" w:sz="4" w:space="0" w:color="auto"/>
              <w:right w:val="single" w:sz="4" w:space="0" w:color="auto"/>
            </w:tcBorders>
            <w:shd w:val="clear" w:color="auto" w:fill="auto"/>
            <w:noWrap/>
            <w:vAlign w:val="bottom"/>
            <w:hideMark/>
          </w:tcPr>
          <w:p w14:paraId="66DA611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0.04%</w:t>
            </w:r>
          </w:p>
        </w:tc>
        <w:tc>
          <w:tcPr>
            <w:tcW w:w="1106" w:type="dxa"/>
            <w:tcBorders>
              <w:top w:val="nil"/>
              <w:left w:val="nil"/>
              <w:bottom w:val="single" w:sz="4" w:space="0" w:color="auto"/>
              <w:right w:val="single" w:sz="4" w:space="0" w:color="auto"/>
            </w:tcBorders>
            <w:shd w:val="clear" w:color="auto" w:fill="auto"/>
            <w:noWrap/>
            <w:vAlign w:val="bottom"/>
            <w:hideMark/>
          </w:tcPr>
          <w:p w14:paraId="62CB7A95"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0.10</w:t>
            </w:r>
          </w:p>
        </w:tc>
        <w:tc>
          <w:tcPr>
            <w:tcW w:w="1097" w:type="dxa"/>
            <w:tcBorders>
              <w:top w:val="nil"/>
              <w:left w:val="nil"/>
              <w:bottom w:val="single" w:sz="4" w:space="0" w:color="auto"/>
              <w:right w:val="single" w:sz="4" w:space="0" w:color="auto"/>
            </w:tcBorders>
            <w:shd w:val="clear" w:color="auto" w:fill="auto"/>
            <w:noWrap/>
            <w:vAlign w:val="bottom"/>
            <w:hideMark/>
          </w:tcPr>
          <w:p w14:paraId="332A8E0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0.12%</w:t>
            </w:r>
          </w:p>
        </w:tc>
      </w:tr>
      <w:tr w:rsidR="007F77F2" w:rsidRPr="007F77F2" w14:paraId="3F91565F"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06AE20A"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helpau</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0F6E6192"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Stiff Sunflower</w:t>
            </w:r>
          </w:p>
        </w:tc>
        <w:tc>
          <w:tcPr>
            <w:tcW w:w="2970" w:type="dxa"/>
            <w:tcBorders>
              <w:top w:val="nil"/>
              <w:left w:val="nil"/>
              <w:bottom w:val="single" w:sz="4" w:space="0" w:color="auto"/>
              <w:right w:val="single" w:sz="4" w:space="0" w:color="auto"/>
            </w:tcBorders>
            <w:shd w:val="clear" w:color="000000" w:fill="A9D08E"/>
            <w:noWrap/>
            <w:vAlign w:val="bottom"/>
            <w:hideMark/>
          </w:tcPr>
          <w:p w14:paraId="18A1D08B"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Helianthus </w:t>
            </w:r>
            <w:proofErr w:type="spellStart"/>
            <w:r w:rsidRPr="007F77F2">
              <w:rPr>
                <w:rFonts w:ascii="Arial" w:eastAsia="Times New Roman" w:hAnsi="Arial" w:cs="Arial"/>
                <w:color w:val="000000"/>
                <w:sz w:val="20"/>
                <w:szCs w:val="20"/>
              </w:rPr>
              <w:t>pauciflorus</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12CA284F"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0.04</w:t>
            </w:r>
          </w:p>
        </w:tc>
        <w:tc>
          <w:tcPr>
            <w:tcW w:w="1260" w:type="dxa"/>
            <w:tcBorders>
              <w:top w:val="nil"/>
              <w:left w:val="nil"/>
              <w:bottom w:val="single" w:sz="4" w:space="0" w:color="auto"/>
              <w:right w:val="single" w:sz="4" w:space="0" w:color="auto"/>
            </w:tcBorders>
            <w:shd w:val="clear" w:color="auto" w:fill="auto"/>
            <w:noWrap/>
            <w:vAlign w:val="bottom"/>
            <w:hideMark/>
          </w:tcPr>
          <w:p w14:paraId="707920EF"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0.16%</w:t>
            </w:r>
          </w:p>
        </w:tc>
        <w:tc>
          <w:tcPr>
            <w:tcW w:w="1106" w:type="dxa"/>
            <w:tcBorders>
              <w:top w:val="nil"/>
              <w:left w:val="nil"/>
              <w:bottom w:val="single" w:sz="4" w:space="0" w:color="auto"/>
              <w:right w:val="single" w:sz="4" w:space="0" w:color="auto"/>
            </w:tcBorders>
            <w:shd w:val="clear" w:color="auto" w:fill="auto"/>
            <w:noWrap/>
            <w:vAlign w:val="bottom"/>
            <w:hideMark/>
          </w:tcPr>
          <w:p w14:paraId="71F1608A"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0.06</w:t>
            </w:r>
          </w:p>
        </w:tc>
        <w:tc>
          <w:tcPr>
            <w:tcW w:w="1097" w:type="dxa"/>
            <w:tcBorders>
              <w:top w:val="nil"/>
              <w:left w:val="nil"/>
              <w:bottom w:val="single" w:sz="4" w:space="0" w:color="auto"/>
              <w:right w:val="single" w:sz="4" w:space="0" w:color="auto"/>
            </w:tcBorders>
            <w:shd w:val="clear" w:color="auto" w:fill="auto"/>
            <w:noWrap/>
            <w:vAlign w:val="bottom"/>
            <w:hideMark/>
          </w:tcPr>
          <w:p w14:paraId="541187B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0.07%</w:t>
            </w:r>
          </w:p>
        </w:tc>
      </w:tr>
      <w:tr w:rsidR="007F77F2" w:rsidRPr="007F77F2" w14:paraId="703480A1"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5AB45E4"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liaasp</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56A50B53"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Rough Blazing Star</w:t>
            </w:r>
          </w:p>
        </w:tc>
        <w:tc>
          <w:tcPr>
            <w:tcW w:w="2970" w:type="dxa"/>
            <w:tcBorders>
              <w:top w:val="nil"/>
              <w:left w:val="nil"/>
              <w:bottom w:val="single" w:sz="4" w:space="0" w:color="auto"/>
              <w:right w:val="single" w:sz="4" w:space="0" w:color="auto"/>
            </w:tcBorders>
            <w:shd w:val="clear" w:color="000000" w:fill="A9D08E"/>
            <w:noWrap/>
            <w:vAlign w:val="bottom"/>
            <w:hideMark/>
          </w:tcPr>
          <w:p w14:paraId="14B064A5"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Liatris aspera</w:t>
            </w:r>
          </w:p>
        </w:tc>
        <w:tc>
          <w:tcPr>
            <w:tcW w:w="810" w:type="dxa"/>
            <w:tcBorders>
              <w:top w:val="nil"/>
              <w:left w:val="nil"/>
              <w:bottom w:val="single" w:sz="4" w:space="0" w:color="auto"/>
              <w:right w:val="single" w:sz="4" w:space="0" w:color="auto"/>
            </w:tcBorders>
            <w:shd w:val="clear" w:color="auto" w:fill="auto"/>
            <w:noWrap/>
            <w:vAlign w:val="bottom"/>
            <w:hideMark/>
          </w:tcPr>
          <w:p w14:paraId="4E11BA3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192203F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0.08%</w:t>
            </w:r>
          </w:p>
        </w:tc>
        <w:tc>
          <w:tcPr>
            <w:tcW w:w="1106" w:type="dxa"/>
            <w:tcBorders>
              <w:top w:val="nil"/>
              <w:left w:val="nil"/>
              <w:bottom w:val="single" w:sz="4" w:space="0" w:color="auto"/>
              <w:right w:val="single" w:sz="4" w:space="0" w:color="auto"/>
            </w:tcBorders>
            <w:shd w:val="clear" w:color="auto" w:fill="auto"/>
            <w:noWrap/>
            <w:vAlign w:val="bottom"/>
            <w:hideMark/>
          </w:tcPr>
          <w:p w14:paraId="48FEB362"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0.12</w:t>
            </w:r>
          </w:p>
        </w:tc>
        <w:tc>
          <w:tcPr>
            <w:tcW w:w="1097" w:type="dxa"/>
            <w:tcBorders>
              <w:top w:val="nil"/>
              <w:left w:val="nil"/>
              <w:bottom w:val="single" w:sz="4" w:space="0" w:color="auto"/>
              <w:right w:val="single" w:sz="4" w:space="0" w:color="auto"/>
            </w:tcBorders>
            <w:shd w:val="clear" w:color="auto" w:fill="auto"/>
            <w:noWrap/>
            <w:vAlign w:val="bottom"/>
            <w:hideMark/>
          </w:tcPr>
          <w:p w14:paraId="6E34873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0.14%</w:t>
            </w:r>
          </w:p>
        </w:tc>
      </w:tr>
      <w:tr w:rsidR="007F77F2" w:rsidRPr="007F77F2" w14:paraId="71B02273"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937821F"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monfis</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5187ACD0"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Wild Bergamot</w:t>
            </w:r>
          </w:p>
        </w:tc>
        <w:tc>
          <w:tcPr>
            <w:tcW w:w="2970" w:type="dxa"/>
            <w:tcBorders>
              <w:top w:val="nil"/>
              <w:left w:val="nil"/>
              <w:bottom w:val="single" w:sz="4" w:space="0" w:color="auto"/>
              <w:right w:val="single" w:sz="4" w:space="0" w:color="auto"/>
            </w:tcBorders>
            <w:shd w:val="clear" w:color="000000" w:fill="A9D08E"/>
            <w:noWrap/>
            <w:vAlign w:val="bottom"/>
            <w:hideMark/>
          </w:tcPr>
          <w:p w14:paraId="5CFD8153"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Monarda fistulosa</w:t>
            </w:r>
          </w:p>
        </w:tc>
        <w:tc>
          <w:tcPr>
            <w:tcW w:w="810" w:type="dxa"/>
            <w:tcBorders>
              <w:top w:val="nil"/>
              <w:left w:val="nil"/>
              <w:bottom w:val="single" w:sz="4" w:space="0" w:color="auto"/>
              <w:right w:val="single" w:sz="4" w:space="0" w:color="auto"/>
            </w:tcBorders>
            <w:shd w:val="clear" w:color="auto" w:fill="auto"/>
            <w:noWrap/>
            <w:vAlign w:val="bottom"/>
            <w:hideMark/>
          </w:tcPr>
          <w:p w14:paraId="04573E3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21FAC7DB"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0.08%</w:t>
            </w:r>
          </w:p>
        </w:tc>
        <w:tc>
          <w:tcPr>
            <w:tcW w:w="1106" w:type="dxa"/>
            <w:tcBorders>
              <w:top w:val="nil"/>
              <w:left w:val="nil"/>
              <w:bottom w:val="single" w:sz="4" w:space="0" w:color="auto"/>
              <w:right w:val="single" w:sz="4" w:space="0" w:color="auto"/>
            </w:tcBorders>
            <w:shd w:val="clear" w:color="auto" w:fill="auto"/>
            <w:noWrap/>
            <w:vAlign w:val="bottom"/>
            <w:hideMark/>
          </w:tcPr>
          <w:p w14:paraId="2CD1EA6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0.51</w:t>
            </w:r>
          </w:p>
        </w:tc>
        <w:tc>
          <w:tcPr>
            <w:tcW w:w="1097" w:type="dxa"/>
            <w:tcBorders>
              <w:top w:val="nil"/>
              <w:left w:val="nil"/>
              <w:bottom w:val="single" w:sz="4" w:space="0" w:color="auto"/>
              <w:right w:val="single" w:sz="4" w:space="0" w:color="auto"/>
            </w:tcBorders>
            <w:shd w:val="clear" w:color="auto" w:fill="auto"/>
            <w:noWrap/>
            <w:vAlign w:val="bottom"/>
            <w:hideMark/>
          </w:tcPr>
          <w:p w14:paraId="0C1A8D6C"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0.63%</w:t>
            </w:r>
          </w:p>
        </w:tc>
      </w:tr>
      <w:tr w:rsidR="007F77F2" w:rsidRPr="007F77F2" w14:paraId="458F03FD"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D269B27"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pengra</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1D1AE6EF"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Large-flowered Beardtongue</w:t>
            </w:r>
          </w:p>
        </w:tc>
        <w:tc>
          <w:tcPr>
            <w:tcW w:w="2970" w:type="dxa"/>
            <w:tcBorders>
              <w:top w:val="nil"/>
              <w:left w:val="nil"/>
              <w:bottom w:val="single" w:sz="4" w:space="0" w:color="auto"/>
              <w:right w:val="single" w:sz="4" w:space="0" w:color="auto"/>
            </w:tcBorders>
            <w:shd w:val="clear" w:color="000000" w:fill="A9D08E"/>
            <w:noWrap/>
            <w:vAlign w:val="bottom"/>
            <w:hideMark/>
          </w:tcPr>
          <w:p w14:paraId="2C1A2868"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Penstemon </w:t>
            </w:r>
            <w:proofErr w:type="spellStart"/>
            <w:r w:rsidRPr="007F77F2">
              <w:rPr>
                <w:rFonts w:ascii="Arial" w:eastAsia="Times New Roman" w:hAnsi="Arial" w:cs="Arial"/>
                <w:color w:val="000000"/>
                <w:sz w:val="20"/>
                <w:szCs w:val="20"/>
              </w:rPr>
              <w:t>grandiflorus</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028CDF7F"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7166CA13"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0.32%</w:t>
            </w:r>
          </w:p>
        </w:tc>
        <w:tc>
          <w:tcPr>
            <w:tcW w:w="1106" w:type="dxa"/>
            <w:tcBorders>
              <w:top w:val="nil"/>
              <w:left w:val="nil"/>
              <w:bottom w:val="single" w:sz="4" w:space="0" w:color="auto"/>
              <w:right w:val="single" w:sz="4" w:space="0" w:color="auto"/>
            </w:tcBorders>
            <w:shd w:val="clear" w:color="auto" w:fill="auto"/>
            <w:noWrap/>
            <w:vAlign w:val="bottom"/>
            <w:hideMark/>
          </w:tcPr>
          <w:p w14:paraId="0F632AED"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0.41</w:t>
            </w:r>
          </w:p>
        </w:tc>
        <w:tc>
          <w:tcPr>
            <w:tcW w:w="1097" w:type="dxa"/>
            <w:tcBorders>
              <w:top w:val="nil"/>
              <w:left w:val="nil"/>
              <w:bottom w:val="single" w:sz="4" w:space="0" w:color="auto"/>
              <w:right w:val="single" w:sz="4" w:space="0" w:color="auto"/>
            </w:tcBorders>
            <w:shd w:val="clear" w:color="auto" w:fill="auto"/>
            <w:noWrap/>
            <w:vAlign w:val="bottom"/>
            <w:hideMark/>
          </w:tcPr>
          <w:p w14:paraId="6A727F6A"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0.50%</w:t>
            </w:r>
          </w:p>
        </w:tc>
      </w:tr>
      <w:tr w:rsidR="007F77F2" w:rsidRPr="007F77F2" w14:paraId="365D1DE8"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A98CBC4"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ratcol</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72CDE349"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Long-headed Coneflower</w:t>
            </w:r>
          </w:p>
        </w:tc>
        <w:tc>
          <w:tcPr>
            <w:tcW w:w="2970" w:type="dxa"/>
            <w:tcBorders>
              <w:top w:val="nil"/>
              <w:left w:val="nil"/>
              <w:bottom w:val="single" w:sz="4" w:space="0" w:color="auto"/>
              <w:right w:val="single" w:sz="4" w:space="0" w:color="auto"/>
            </w:tcBorders>
            <w:shd w:val="clear" w:color="000000" w:fill="A9D08E"/>
            <w:noWrap/>
            <w:vAlign w:val="bottom"/>
            <w:hideMark/>
          </w:tcPr>
          <w:p w14:paraId="5F95537D"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Ratibida </w:t>
            </w:r>
            <w:proofErr w:type="spellStart"/>
            <w:r w:rsidRPr="007F77F2">
              <w:rPr>
                <w:rFonts w:ascii="Arial" w:eastAsia="Times New Roman" w:hAnsi="Arial" w:cs="Arial"/>
                <w:color w:val="000000"/>
                <w:sz w:val="20"/>
                <w:szCs w:val="20"/>
              </w:rPr>
              <w:t>columnifera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7EB0D8D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0.13</w:t>
            </w:r>
          </w:p>
        </w:tc>
        <w:tc>
          <w:tcPr>
            <w:tcW w:w="1260" w:type="dxa"/>
            <w:tcBorders>
              <w:top w:val="nil"/>
              <w:left w:val="nil"/>
              <w:bottom w:val="single" w:sz="4" w:space="0" w:color="auto"/>
              <w:right w:val="single" w:sz="4" w:space="0" w:color="auto"/>
            </w:tcBorders>
            <w:shd w:val="clear" w:color="auto" w:fill="auto"/>
            <w:noWrap/>
            <w:vAlign w:val="bottom"/>
            <w:hideMark/>
          </w:tcPr>
          <w:p w14:paraId="617CC385"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0.53%</w:t>
            </w:r>
          </w:p>
        </w:tc>
        <w:tc>
          <w:tcPr>
            <w:tcW w:w="1106" w:type="dxa"/>
            <w:tcBorders>
              <w:top w:val="nil"/>
              <w:left w:val="nil"/>
              <w:bottom w:val="single" w:sz="4" w:space="0" w:color="auto"/>
              <w:right w:val="single" w:sz="4" w:space="0" w:color="auto"/>
            </w:tcBorders>
            <w:shd w:val="clear" w:color="auto" w:fill="auto"/>
            <w:noWrap/>
            <w:vAlign w:val="bottom"/>
            <w:hideMark/>
          </w:tcPr>
          <w:p w14:paraId="0A659D5C"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2.01</w:t>
            </w:r>
          </w:p>
        </w:tc>
        <w:tc>
          <w:tcPr>
            <w:tcW w:w="1097" w:type="dxa"/>
            <w:tcBorders>
              <w:top w:val="nil"/>
              <w:left w:val="nil"/>
              <w:bottom w:val="single" w:sz="4" w:space="0" w:color="auto"/>
              <w:right w:val="single" w:sz="4" w:space="0" w:color="auto"/>
            </w:tcBorders>
            <w:shd w:val="clear" w:color="auto" w:fill="auto"/>
            <w:noWrap/>
            <w:vAlign w:val="bottom"/>
            <w:hideMark/>
          </w:tcPr>
          <w:p w14:paraId="7752964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2.44%</w:t>
            </w:r>
          </w:p>
        </w:tc>
      </w:tr>
      <w:tr w:rsidR="007F77F2" w:rsidRPr="007F77F2" w14:paraId="4C63DF05"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D511297"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rudhir</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1A43055F"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Black-eyed Susan</w:t>
            </w:r>
          </w:p>
        </w:tc>
        <w:tc>
          <w:tcPr>
            <w:tcW w:w="2970" w:type="dxa"/>
            <w:tcBorders>
              <w:top w:val="nil"/>
              <w:left w:val="nil"/>
              <w:bottom w:val="single" w:sz="4" w:space="0" w:color="auto"/>
              <w:right w:val="single" w:sz="4" w:space="0" w:color="auto"/>
            </w:tcBorders>
            <w:shd w:val="clear" w:color="000000" w:fill="A9D08E"/>
            <w:noWrap/>
            <w:vAlign w:val="bottom"/>
            <w:hideMark/>
          </w:tcPr>
          <w:p w14:paraId="1831D12D"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Rudbeckia </w:t>
            </w:r>
            <w:proofErr w:type="spellStart"/>
            <w:r w:rsidRPr="007F77F2">
              <w:rPr>
                <w:rFonts w:ascii="Arial" w:eastAsia="Times New Roman" w:hAnsi="Arial" w:cs="Arial"/>
                <w:color w:val="000000"/>
                <w:sz w:val="20"/>
                <w:szCs w:val="20"/>
              </w:rPr>
              <w:t>hirta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4A325FA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0.12</w:t>
            </w:r>
          </w:p>
        </w:tc>
        <w:tc>
          <w:tcPr>
            <w:tcW w:w="1260" w:type="dxa"/>
            <w:tcBorders>
              <w:top w:val="nil"/>
              <w:left w:val="nil"/>
              <w:bottom w:val="single" w:sz="4" w:space="0" w:color="auto"/>
              <w:right w:val="single" w:sz="4" w:space="0" w:color="auto"/>
            </w:tcBorders>
            <w:shd w:val="clear" w:color="auto" w:fill="auto"/>
            <w:noWrap/>
            <w:vAlign w:val="bottom"/>
            <w:hideMark/>
          </w:tcPr>
          <w:p w14:paraId="098C34E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0.49%</w:t>
            </w:r>
          </w:p>
        </w:tc>
        <w:tc>
          <w:tcPr>
            <w:tcW w:w="1106" w:type="dxa"/>
            <w:tcBorders>
              <w:top w:val="nil"/>
              <w:left w:val="nil"/>
              <w:bottom w:val="single" w:sz="4" w:space="0" w:color="auto"/>
              <w:right w:val="single" w:sz="4" w:space="0" w:color="auto"/>
            </w:tcBorders>
            <w:shd w:val="clear" w:color="auto" w:fill="auto"/>
            <w:noWrap/>
            <w:vAlign w:val="bottom"/>
            <w:hideMark/>
          </w:tcPr>
          <w:p w14:paraId="62D6545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4.06</w:t>
            </w:r>
          </w:p>
        </w:tc>
        <w:tc>
          <w:tcPr>
            <w:tcW w:w="1097" w:type="dxa"/>
            <w:tcBorders>
              <w:top w:val="nil"/>
              <w:left w:val="nil"/>
              <w:bottom w:val="single" w:sz="4" w:space="0" w:color="auto"/>
              <w:right w:val="single" w:sz="4" w:space="0" w:color="auto"/>
            </w:tcBorders>
            <w:shd w:val="clear" w:color="auto" w:fill="auto"/>
            <w:noWrap/>
            <w:vAlign w:val="bottom"/>
            <w:hideMark/>
          </w:tcPr>
          <w:p w14:paraId="536E5FF3"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4.93%</w:t>
            </w:r>
          </w:p>
        </w:tc>
      </w:tr>
      <w:tr w:rsidR="007F77F2" w:rsidRPr="007F77F2" w14:paraId="5FFCA7DF"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E6F9251"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solnem</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094CFC8E"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Gray Goldenrod</w:t>
            </w:r>
          </w:p>
        </w:tc>
        <w:tc>
          <w:tcPr>
            <w:tcW w:w="2970" w:type="dxa"/>
            <w:tcBorders>
              <w:top w:val="nil"/>
              <w:left w:val="nil"/>
              <w:bottom w:val="single" w:sz="4" w:space="0" w:color="auto"/>
              <w:right w:val="single" w:sz="4" w:space="0" w:color="auto"/>
            </w:tcBorders>
            <w:shd w:val="clear" w:color="000000" w:fill="A9D08E"/>
            <w:noWrap/>
            <w:vAlign w:val="bottom"/>
            <w:hideMark/>
          </w:tcPr>
          <w:p w14:paraId="69817FDE"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Solidago </w:t>
            </w:r>
            <w:proofErr w:type="spellStart"/>
            <w:r w:rsidRPr="007F77F2">
              <w:rPr>
                <w:rFonts w:ascii="Arial" w:eastAsia="Times New Roman" w:hAnsi="Arial" w:cs="Arial"/>
                <w:color w:val="000000"/>
                <w:sz w:val="20"/>
                <w:szCs w:val="20"/>
              </w:rPr>
              <w:t>nemoralis</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28134EE7"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0.01</w:t>
            </w:r>
          </w:p>
        </w:tc>
        <w:tc>
          <w:tcPr>
            <w:tcW w:w="1260" w:type="dxa"/>
            <w:tcBorders>
              <w:top w:val="nil"/>
              <w:left w:val="nil"/>
              <w:bottom w:val="single" w:sz="4" w:space="0" w:color="auto"/>
              <w:right w:val="single" w:sz="4" w:space="0" w:color="auto"/>
            </w:tcBorders>
            <w:shd w:val="clear" w:color="auto" w:fill="auto"/>
            <w:noWrap/>
            <w:vAlign w:val="bottom"/>
            <w:hideMark/>
          </w:tcPr>
          <w:p w14:paraId="07C6B2F0"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0.04%</w:t>
            </w:r>
          </w:p>
        </w:tc>
        <w:tc>
          <w:tcPr>
            <w:tcW w:w="1106" w:type="dxa"/>
            <w:tcBorders>
              <w:top w:val="nil"/>
              <w:left w:val="nil"/>
              <w:bottom w:val="single" w:sz="4" w:space="0" w:color="auto"/>
              <w:right w:val="single" w:sz="4" w:space="0" w:color="auto"/>
            </w:tcBorders>
            <w:shd w:val="clear" w:color="auto" w:fill="auto"/>
            <w:noWrap/>
            <w:vAlign w:val="bottom"/>
            <w:hideMark/>
          </w:tcPr>
          <w:p w14:paraId="6CCB4B72"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1.10</w:t>
            </w:r>
          </w:p>
        </w:tc>
        <w:tc>
          <w:tcPr>
            <w:tcW w:w="1097" w:type="dxa"/>
            <w:tcBorders>
              <w:top w:val="nil"/>
              <w:left w:val="nil"/>
              <w:bottom w:val="single" w:sz="4" w:space="0" w:color="auto"/>
              <w:right w:val="single" w:sz="4" w:space="0" w:color="auto"/>
            </w:tcBorders>
            <w:shd w:val="clear" w:color="auto" w:fill="auto"/>
            <w:noWrap/>
            <w:vAlign w:val="bottom"/>
            <w:hideMark/>
          </w:tcPr>
          <w:p w14:paraId="4E1A3F5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1.34%</w:t>
            </w:r>
          </w:p>
        </w:tc>
      </w:tr>
      <w:tr w:rsidR="007F77F2" w:rsidRPr="007F77F2" w14:paraId="536DC783"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AC109D9"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solspe</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5AA3C2FD"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Showy Goldenrod</w:t>
            </w:r>
          </w:p>
        </w:tc>
        <w:tc>
          <w:tcPr>
            <w:tcW w:w="2970" w:type="dxa"/>
            <w:tcBorders>
              <w:top w:val="nil"/>
              <w:left w:val="nil"/>
              <w:bottom w:val="single" w:sz="4" w:space="0" w:color="auto"/>
              <w:right w:val="single" w:sz="4" w:space="0" w:color="auto"/>
            </w:tcBorders>
            <w:shd w:val="clear" w:color="000000" w:fill="A9D08E"/>
            <w:noWrap/>
            <w:vAlign w:val="bottom"/>
            <w:hideMark/>
          </w:tcPr>
          <w:p w14:paraId="577C592C"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Solidago speciosa</w:t>
            </w:r>
          </w:p>
        </w:tc>
        <w:tc>
          <w:tcPr>
            <w:tcW w:w="810" w:type="dxa"/>
            <w:tcBorders>
              <w:top w:val="nil"/>
              <w:left w:val="nil"/>
              <w:bottom w:val="single" w:sz="4" w:space="0" w:color="auto"/>
              <w:right w:val="single" w:sz="4" w:space="0" w:color="auto"/>
            </w:tcBorders>
            <w:shd w:val="clear" w:color="auto" w:fill="auto"/>
            <w:noWrap/>
            <w:vAlign w:val="bottom"/>
            <w:hideMark/>
          </w:tcPr>
          <w:p w14:paraId="5875D11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3AE32C9B"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0.12%</w:t>
            </w:r>
          </w:p>
        </w:tc>
        <w:tc>
          <w:tcPr>
            <w:tcW w:w="1106" w:type="dxa"/>
            <w:tcBorders>
              <w:top w:val="nil"/>
              <w:left w:val="nil"/>
              <w:bottom w:val="single" w:sz="4" w:space="0" w:color="auto"/>
              <w:right w:val="single" w:sz="4" w:space="0" w:color="auto"/>
            </w:tcBorders>
            <w:shd w:val="clear" w:color="auto" w:fill="auto"/>
            <w:noWrap/>
            <w:vAlign w:val="bottom"/>
            <w:hideMark/>
          </w:tcPr>
          <w:p w14:paraId="38331A90"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0.88</w:t>
            </w:r>
          </w:p>
        </w:tc>
        <w:tc>
          <w:tcPr>
            <w:tcW w:w="1097" w:type="dxa"/>
            <w:tcBorders>
              <w:top w:val="nil"/>
              <w:left w:val="nil"/>
              <w:bottom w:val="single" w:sz="4" w:space="0" w:color="auto"/>
              <w:right w:val="single" w:sz="4" w:space="0" w:color="auto"/>
            </w:tcBorders>
            <w:shd w:val="clear" w:color="auto" w:fill="auto"/>
            <w:noWrap/>
            <w:vAlign w:val="bottom"/>
            <w:hideMark/>
          </w:tcPr>
          <w:p w14:paraId="1B8EE181"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1.07%</w:t>
            </w:r>
          </w:p>
        </w:tc>
      </w:tr>
      <w:tr w:rsidR="007F77F2" w:rsidRPr="007F77F2" w14:paraId="6B5A5046"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58BC887"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symool</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4E98B803"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Sky Blue Aster</w:t>
            </w:r>
          </w:p>
        </w:tc>
        <w:tc>
          <w:tcPr>
            <w:tcW w:w="2970" w:type="dxa"/>
            <w:tcBorders>
              <w:top w:val="nil"/>
              <w:left w:val="nil"/>
              <w:bottom w:val="single" w:sz="4" w:space="0" w:color="auto"/>
              <w:right w:val="single" w:sz="4" w:space="0" w:color="auto"/>
            </w:tcBorders>
            <w:shd w:val="clear" w:color="000000" w:fill="A9D08E"/>
            <w:noWrap/>
            <w:vAlign w:val="bottom"/>
            <w:hideMark/>
          </w:tcPr>
          <w:p w14:paraId="53D8242E"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Symphyotrichum</w:t>
            </w:r>
            <w:proofErr w:type="spellEnd"/>
            <w:r w:rsidRPr="007F77F2">
              <w:rPr>
                <w:rFonts w:ascii="Arial" w:eastAsia="Times New Roman" w:hAnsi="Arial" w:cs="Arial"/>
                <w:color w:val="000000"/>
                <w:sz w:val="20"/>
                <w:szCs w:val="20"/>
              </w:rPr>
              <w:t xml:space="preserve"> </w:t>
            </w:r>
            <w:proofErr w:type="spellStart"/>
            <w:r w:rsidRPr="007F77F2">
              <w:rPr>
                <w:rFonts w:ascii="Arial" w:eastAsia="Times New Roman" w:hAnsi="Arial" w:cs="Arial"/>
                <w:color w:val="000000"/>
                <w:sz w:val="20"/>
                <w:szCs w:val="20"/>
              </w:rPr>
              <w:t>oolentangiense</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25F0D16E"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229F1ED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0.24%</w:t>
            </w:r>
          </w:p>
        </w:tc>
        <w:tc>
          <w:tcPr>
            <w:tcW w:w="1106" w:type="dxa"/>
            <w:tcBorders>
              <w:top w:val="nil"/>
              <w:left w:val="nil"/>
              <w:bottom w:val="single" w:sz="4" w:space="0" w:color="auto"/>
              <w:right w:val="single" w:sz="4" w:space="0" w:color="auto"/>
            </w:tcBorders>
            <w:shd w:val="clear" w:color="auto" w:fill="auto"/>
            <w:noWrap/>
            <w:vAlign w:val="bottom"/>
            <w:hideMark/>
          </w:tcPr>
          <w:p w14:paraId="4D6EC23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1.76</w:t>
            </w:r>
          </w:p>
        </w:tc>
        <w:tc>
          <w:tcPr>
            <w:tcW w:w="1097" w:type="dxa"/>
            <w:tcBorders>
              <w:top w:val="nil"/>
              <w:left w:val="nil"/>
              <w:bottom w:val="single" w:sz="4" w:space="0" w:color="auto"/>
              <w:right w:val="single" w:sz="4" w:space="0" w:color="auto"/>
            </w:tcBorders>
            <w:shd w:val="clear" w:color="auto" w:fill="auto"/>
            <w:noWrap/>
            <w:vAlign w:val="bottom"/>
            <w:hideMark/>
          </w:tcPr>
          <w:p w14:paraId="2D1DCD50"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2.14%</w:t>
            </w:r>
          </w:p>
        </w:tc>
      </w:tr>
      <w:tr w:rsidR="007F77F2" w:rsidRPr="007F77F2" w14:paraId="4D5E2FDE"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2C681F2"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trabra</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1473E5C7"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Prairie Spiderwort</w:t>
            </w:r>
          </w:p>
        </w:tc>
        <w:tc>
          <w:tcPr>
            <w:tcW w:w="2970" w:type="dxa"/>
            <w:tcBorders>
              <w:top w:val="nil"/>
              <w:left w:val="nil"/>
              <w:bottom w:val="single" w:sz="4" w:space="0" w:color="auto"/>
              <w:right w:val="single" w:sz="4" w:space="0" w:color="auto"/>
            </w:tcBorders>
            <w:shd w:val="clear" w:color="000000" w:fill="A9D08E"/>
            <w:noWrap/>
            <w:vAlign w:val="bottom"/>
            <w:hideMark/>
          </w:tcPr>
          <w:p w14:paraId="3D42B400"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 xml:space="preserve">Tradescantia </w:t>
            </w:r>
            <w:proofErr w:type="spellStart"/>
            <w:r w:rsidRPr="007F77F2">
              <w:rPr>
                <w:rFonts w:ascii="Arial" w:eastAsia="Times New Roman" w:hAnsi="Arial" w:cs="Arial"/>
                <w:color w:val="000000"/>
                <w:sz w:val="20"/>
                <w:szCs w:val="20"/>
              </w:rPr>
              <w:t>bracteata</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43003107"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0.01</w:t>
            </w:r>
          </w:p>
        </w:tc>
        <w:tc>
          <w:tcPr>
            <w:tcW w:w="1260" w:type="dxa"/>
            <w:tcBorders>
              <w:top w:val="nil"/>
              <w:left w:val="nil"/>
              <w:bottom w:val="single" w:sz="4" w:space="0" w:color="auto"/>
              <w:right w:val="single" w:sz="4" w:space="0" w:color="auto"/>
            </w:tcBorders>
            <w:shd w:val="clear" w:color="auto" w:fill="auto"/>
            <w:noWrap/>
            <w:vAlign w:val="bottom"/>
            <w:hideMark/>
          </w:tcPr>
          <w:p w14:paraId="7965A8E4"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0.04%</w:t>
            </w:r>
          </w:p>
        </w:tc>
        <w:tc>
          <w:tcPr>
            <w:tcW w:w="1106" w:type="dxa"/>
            <w:tcBorders>
              <w:top w:val="nil"/>
              <w:left w:val="nil"/>
              <w:bottom w:val="single" w:sz="4" w:space="0" w:color="auto"/>
              <w:right w:val="single" w:sz="4" w:space="0" w:color="auto"/>
            </w:tcBorders>
            <w:shd w:val="clear" w:color="auto" w:fill="auto"/>
            <w:noWrap/>
            <w:vAlign w:val="bottom"/>
            <w:hideMark/>
          </w:tcPr>
          <w:p w14:paraId="4C0D1A61"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0.04</w:t>
            </w:r>
          </w:p>
        </w:tc>
        <w:tc>
          <w:tcPr>
            <w:tcW w:w="1097" w:type="dxa"/>
            <w:tcBorders>
              <w:top w:val="nil"/>
              <w:left w:val="nil"/>
              <w:bottom w:val="single" w:sz="4" w:space="0" w:color="auto"/>
              <w:right w:val="single" w:sz="4" w:space="0" w:color="auto"/>
            </w:tcBorders>
            <w:shd w:val="clear" w:color="auto" w:fill="auto"/>
            <w:noWrap/>
            <w:vAlign w:val="bottom"/>
            <w:hideMark/>
          </w:tcPr>
          <w:p w14:paraId="2DB9D647"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0.04%</w:t>
            </w:r>
          </w:p>
        </w:tc>
      </w:tr>
      <w:tr w:rsidR="007F77F2" w:rsidRPr="007F77F2" w14:paraId="00F8070D"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15F3BD4"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verstr</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2D87083D"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Hoary Vervain</w:t>
            </w:r>
          </w:p>
        </w:tc>
        <w:tc>
          <w:tcPr>
            <w:tcW w:w="2970" w:type="dxa"/>
            <w:tcBorders>
              <w:top w:val="nil"/>
              <w:left w:val="nil"/>
              <w:bottom w:val="single" w:sz="4" w:space="0" w:color="auto"/>
              <w:right w:val="single" w:sz="4" w:space="0" w:color="auto"/>
            </w:tcBorders>
            <w:shd w:val="clear" w:color="000000" w:fill="A9D08E"/>
            <w:noWrap/>
            <w:vAlign w:val="bottom"/>
            <w:hideMark/>
          </w:tcPr>
          <w:p w14:paraId="3053C5EE"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Verbena stricta</w:t>
            </w:r>
          </w:p>
        </w:tc>
        <w:tc>
          <w:tcPr>
            <w:tcW w:w="810" w:type="dxa"/>
            <w:tcBorders>
              <w:top w:val="nil"/>
              <w:left w:val="nil"/>
              <w:bottom w:val="single" w:sz="4" w:space="0" w:color="auto"/>
              <w:right w:val="single" w:sz="4" w:space="0" w:color="auto"/>
            </w:tcBorders>
            <w:shd w:val="clear" w:color="auto" w:fill="auto"/>
            <w:noWrap/>
            <w:vAlign w:val="bottom"/>
            <w:hideMark/>
          </w:tcPr>
          <w:p w14:paraId="18DD1707"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0.15</w:t>
            </w:r>
          </w:p>
        </w:tc>
        <w:tc>
          <w:tcPr>
            <w:tcW w:w="1260" w:type="dxa"/>
            <w:tcBorders>
              <w:top w:val="nil"/>
              <w:left w:val="nil"/>
              <w:bottom w:val="single" w:sz="4" w:space="0" w:color="auto"/>
              <w:right w:val="single" w:sz="4" w:space="0" w:color="auto"/>
            </w:tcBorders>
            <w:shd w:val="clear" w:color="auto" w:fill="auto"/>
            <w:noWrap/>
            <w:vAlign w:val="bottom"/>
            <w:hideMark/>
          </w:tcPr>
          <w:p w14:paraId="74C919AB"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0.61%</w:t>
            </w:r>
          </w:p>
        </w:tc>
        <w:tc>
          <w:tcPr>
            <w:tcW w:w="1106" w:type="dxa"/>
            <w:tcBorders>
              <w:top w:val="nil"/>
              <w:left w:val="nil"/>
              <w:bottom w:val="single" w:sz="4" w:space="0" w:color="auto"/>
              <w:right w:val="single" w:sz="4" w:space="0" w:color="auto"/>
            </w:tcBorders>
            <w:shd w:val="clear" w:color="auto" w:fill="auto"/>
            <w:noWrap/>
            <w:vAlign w:val="bottom"/>
            <w:hideMark/>
          </w:tcPr>
          <w:p w14:paraId="61EAA2D0"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1.54</w:t>
            </w:r>
          </w:p>
        </w:tc>
        <w:tc>
          <w:tcPr>
            <w:tcW w:w="1097" w:type="dxa"/>
            <w:tcBorders>
              <w:top w:val="nil"/>
              <w:left w:val="nil"/>
              <w:bottom w:val="single" w:sz="4" w:space="0" w:color="auto"/>
              <w:right w:val="single" w:sz="4" w:space="0" w:color="auto"/>
            </w:tcBorders>
            <w:shd w:val="clear" w:color="auto" w:fill="auto"/>
            <w:noWrap/>
            <w:vAlign w:val="bottom"/>
            <w:hideMark/>
          </w:tcPr>
          <w:p w14:paraId="017502C6"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1.88%</w:t>
            </w:r>
          </w:p>
        </w:tc>
      </w:tr>
      <w:tr w:rsidR="007F77F2" w:rsidRPr="007F77F2" w14:paraId="1A44AF40"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6333C24"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zizapt</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3696FBD1"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Heartleaf Alexanders</w:t>
            </w:r>
          </w:p>
        </w:tc>
        <w:tc>
          <w:tcPr>
            <w:tcW w:w="2970" w:type="dxa"/>
            <w:tcBorders>
              <w:top w:val="nil"/>
              <w:left w:val="nil"/>
              <w:bottom w:val="single" w:sz="4" w:space="0" w:color="auto"/>
              <w:right w:val="single" w:sz="4" w:space="0" w:color="auto"/>
            </w:tcBorders>
            <w:shd w:val="clear" w:color="000000" w:fill="A9D08E"/>
            <w:noWrap/>
            <w:vAlign w:val="bottom"/>
            <w:hideMark/>
          </w:tcPr>
          <w:p w14:paraId="59475E23"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Zizia</w:t>
            </w:r>
            <w:proofErr w:type="spellEnd"/>
            <w:r w:rsidRPr="007F77F2">
              <w:rPr>
                <w:rFonts w:ascii="Arial" w:eastAsia="Times New Roman" w:hAnsi="Arial" w:cs="Arial"/>
                <w:color w:val="000000"/>
                <w:sz w:val="20"/>
                <w:szCs w:val="20"/>
              </w:rPr>
              <w:t xml:space="preserve"> aptera</w:t>
            </w:r>
          </w:p>
        </w:tc>
        <w:tc>
          <w:tcPr>
            <w:tcW w:w="810" w:type="dxa"/>
            <w:tcBorders>
              <w:top w:val="nil"/>
              <w:left w:val="nil"/>
              <w:bottom w:val="single" w:sz="4" w:space="0" w:color="auto"/>
              <w:right w:val="single" w:sz="4" w:space="0" w:color="auto"/>
            </w:tcBorders>
            <w:shd w:val="clear" w:color="auto" w:fill="auto"/>
            <w:noWrap/>
            <w:vAlign w:val="bottom"/>
            <w:hideMark/>
          </w:tcPr>
          <w:p w14:paraId="21F33D0F"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0.09</w:t>
            </w:r>
          </w:p>
        </w:tc>
        <w:tc>
          <w:tcPr>
            <w:tcW w:w="1260" w:type="dxa"/>
            <w:tcBorders>
              <w:top w:val="nil"/>
              <w:left w:val="nil"/>
              <w:bottom w:val="single" w:sz="4" w:space="0" w:color="auto"/>
              <w:right w:val="single" w:sz="4" w:space="0" w:color="auto"/>
            </w:tcBorders>
            <w:shd w:val="clear" w:color="auto" w:fill="auto"/>
            <w:noWrap/>
            <w:vAlign w:val="bottom"/>
            <w:hideMark/>
          </w:tcPr>
          <w:p w14:paraId="0B7A21D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0.37%</w:t>
            </w:r>
          </w:p>
        </w:tc>
        <w:tc>
          <w:tcPr>
            <w:tcW w:w="1106" w:type="dxa"/>
            <w:tcBorders>
              <w:top w:val="nil"/>
              <w:left w:val="nil"/>
              <w:bottom w:val="single" w:sz="4" w:space="0" w:color="auto"/>
              <w:right w:val="single" w:sz="4" w:space="0" w:color="auto"/>
            </w:tcBorders>
            <w:shd w:val="clear" w:color="auto" w:fill="auto"/>
            <w:noWrap/>
            <w:vAlign w:val="bottom"/>
            <w:hideMark/>
          </w:tcPr>
          <w:p w14:paraId="67713A8D"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0.40</w:t>
            </w:r>
          </w:p>
        </w:tc>
        <w:tc>
          <w:tcPr>
            <w:tcW w:w="1097" w:type="dxa"/>
            <w:tcBorders>
              <w:top w:val="nil"/>
              <w:left w:val="nil"/>
              <w:bottom w:val="single" w:sz="4" w:space="0" w:color="auto"/>
              <w:right w:val="single" w:sz="4" w:space="0" w:color="auto"/>
            </w:tcBorders>
            <w:shd w:val="clear" w:color="auto" w:fill="auto"/>
            <w:noWrap/>
            <w:vAlign w:val="bottom"/>
            <w:hideMark/>
          </w:tcPr>
          <w:p w14:paraId="7DE02051"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0.48%</w:t>
            </w:r>
          </w:p>
        </w:tc>
      </w:tr>
      <w:tr w:rsidR="007F77F2" w:rsidRPr="007F77F2" w14:paraId="62AE2897" w14:textId="77777777" w:rsidTr="003D7F79">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5803EC69"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w:t>
            </w:r>
          </w:p>
        </w:tc>
        <w:tc>
          <w:tcPr>
            <w:tcW w:w="2340" w:type="dxa"/>
            <w:tcBorders>
              <w:top w:val="nil"/>
              <w:left w:val="nil"/>
              <w:bottom w:val="single" w:sz="4" w:space="0" w:color="auto"/>
              <w:right w:val="single" w:sz="4" w:space="0" w:color="auto"/>
            </w:tcBorders>
            <w:shd w:val="clear" w:color="000000" w:fill="9BC2E6"/>
            <w:noWrap/>
            <w:vAlign w:val="bottom"/>
            <w:hideMark/>
          </w:tcPr>
          <w:p w14:paraId="299160E5"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w:t>
            </w:r>
          </w:p>
        </w:tc>
        <w:tc>
          <w:tcPr>
            <w:tcW w:w="2970" w:type="dxa"/>
            <w:tcBorders>
              <w:top w:val="nil"/>
              <w:left w:val="nil"/>
              <w:bottom w:val="single" w:sz="4" w:space="0" w:color="auto"/>
              <w:right w:val="single" w:sz="4" w:space="0" w:color="auto"/>
            </w:tcBorders>
            <w:shd w:val="clear" w:color="000000" w:fill="9BC2E6"/>
            <w:noWrap/>
            <w:vAlign w:val="bottom"/>
            <w:hideMark/>
          </w:tcPr>
          <w:p w14:paraId="493F087C"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Forbs Subtotal</w:t>
            </w:r>
          </w:p>
        </w:tc>
        <w:tc>
          <w:tcPr>
            <w:tcW w:w="810" w:type="dxa"/>
            <w:tcBorders>
              <w:top w:val="nil"/>
              <w:left w:val="nil"/>
              <w:bottom w:val="single" w:sz="4" w:space="0" w:color="auto"/>
              <w:right w:val="single" w:sz="4" w:space="0" w:color="auto"/>
            </w:tcBorders>
            <w:shd w:val="clear" w:color="000000" w:fill="9BC2E6"/>
            <w:noWrap/>
            <w:vAlign w:val="bottom"/>
            <w:hideMark/>
          </w:tcPr>
          <w:p w14:paraId="123547FA"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2.10</w:t>
            </w:r>
          </w:p>
        </w:tc>
        <w:tc>
          <w:tcPr>
            <w:tcW w:w="1260" w:type="dxa"/>
            <w:tcBorders>
              <w:top w:val="nil"/>
              <w:left w:val="nil"/>
              <w:bottom w:val="single" w:sz="4" w:space="0" w:color="auto"/>
              <w:right w:val="single" w:sz="4" w:space="0" w:color="auto"/>
            </w:tcBorders>
            <w:shd w:val="clear" w:color="000000" w:fill="9BC2E6"/>
            <w:noWrap/>
            <w:vAlign w:val="bottom"/>
            <w:hideMark/>
          </w:tcPr>
          <w:p w14:paraId="21170DE0"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8.52%</w:t>
            </w:r>
          </w:p>
        </w:tc>
        <w:tc>
          <w:tcPr>
            <w:tcW w:w="1106" w:type="dxa"/>
            <w:tcBorders>
              <w:top w:val="nil"/>
              <w:left w:val="nil"/>
              <w:bottom w:val="single" w:sz="4" w:space="0" w:color="auto"/>
              <w:right w:val="single" w:sz="4" w:space="0" w:color="auto"/>
            </w:tcBorders>
            <w:shd w:val="clear" w:color="000000" w:fill="9BC2E6"/>
            <w:noWrap/>
            <w:vAlign w:val="bottom"/>
            <w:hideMark/>
          </w:tcPr>
          <w:p w14:paraId="0C7C0BDE"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21.61</w:t>
            </w:r>
          </w:p>
        </w:tc>
        <w:tc>
          <w:tcPr>
            <w:tcW w:w="1097" w:type="dxa"/>
            <w:tcBorders>
              <w:top w:val="nil"/>
              <w:left w:val="nil"/>
              <w:bottom w:val="single" w:sz="4" w:space="0" w:color="auto"/>
              <w:right w:val="single" w:sz="4" w:space="0" w:color="auto"/>
            </w:tcBorders>
            <w:shd w:val="clear" w:color="000000" w:fill="9BC2E6"/>
            <w:noWrap/>
            <w:vAlign w:val="bottom"/>
            <w:hideMark/>
          </w:tcPr>
          <w:p w14:paraId="0DDFEDB0"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26.27%</w:t>
            </w:r>
          </w:p>
        </w:tc>
      </w:tr>
      <w:tr w:rsidR="007F77F2" w:rsidRPr="007F77F2" w14:paraId="5F665B66" w14:textId="77777777" w:rsidTr="003D7F79">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E5816C6"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cover</w:t>
            </w:r>
          </w:p>
        </w:tc>
        <w:tc>
          <w:tcPr>
            <w:tcW w:w="2340" w:type="dxa"/>
            <w:tcBorders>
              <w:top w:val="nil"/>
              <w:left w:val="nil"/>
              <w:bottom w:val="single" w:sz="4" w:space="0" w:color="auto"/>
              <w:right w:val="single" w:sz="4" w:space="0" w:color="auto"/>
            </w:tcBorders>
            <w:shd w:val="clear" w:color="auto" w:fill="auto"/>
            <w:noWrap/>
            <w:vAlign w:val="bottom"/>
            <w:hideMark/>
          </w:tcPr>
          <w:p w14:paraId="246E95AE" w14:textId="77777777" w:rsidR="007F77F2" w:rsidRPr="007F77F2" w:rsidRDefault="007F77F2" w:rsidP="007F77F2">
            <w:pPr>
              <w:rPr>
                <w:rFonts w:ascii="Arial" w:eastAsia="Times New Roman" w:hAnsi="Arial" w:cs="Arial"/>
                <w:color w:val="000000"/>
                <w:sz w:val="20"/>
                <w:szCs w:val="20"/>
              </w:rPr>
            </w:pPr>
            <w:r w:rsidRPr="007F77F2">
              <w:rPr>
                <w:rFonts w:ascii="Arial" w:eastAsia="Times New Roman" w:hAnsi="Arial" w:cs="Arial"/>
                <w:color w:val="000000"/>
                <w:sz w:val="20"/>
                <w:szCs w:val="20"/>
              </w:rPr>
              <w:t>Oats/Winter Wheat</w:t>
            </w:r>
          </w:p>
        </w:tc>
        <w:tc>
          <w:tcPr>
            <w:tcW w:w="2970" w:type="dxa"/>
            <w:tcBorders>
              <w:top w:val="nil"/>
              <w:left w:val="nil"/>
              <w:bottom w:val="single" w:sz="4" w:space="0" w:color="auto"/>
              <w:right w:val="single" w:sz="4" w:space="0" w:color="auto"/>
            </w:tcBorders>
            <w:shd w:val="clear" w:color="000000" w:fill="A9D08E"/>
            <w:noWrap/>
            <w:vAlign w:val="bottom"/>
            <w:hideMark/>
          </w:tcPr>
          <w:p w14:paraId="4170EF54" w14:textId="77777777" w:rsidR="007F77F2" w:rsidRPr="007F77F2" w:rsidRDefault="007F77F2" w:rsidP="007F77F2">
            <w:pPr>
              <w:rPr>
                <w:rFonts w:ascii="Arial" w:eastAsia="Times New Roman" w:hAnsi="Arial" w:cs="Arial"/>
                <w:color w:val="000000"/>
                <w:sz w:val="20"/>
                <w:szCs w:val="20"/>
              </w:rPr>
            </w:pPr>
            <w:proofErr w:type="spellStart"/>
            <w:r w:rsidRPr="007F77F2">
              <w:rPr>
                <w:rFonts w:ascii="Arial" w:eastAsia="Times New Roman" w:hAnsi="Arial" w:cs="Arial"/>
                <w:color w:val="000000"/>
                <w:sz w:val="20"/>
                <w:szCs w:val="20"/>
              </w:rPr>
              <w:t>Avena</w:t>
            </w:r>
            <w:proofErr w:type="spellEnd"/>
            <w:r w:rsidRPr="007F77F2">
              <w:rPr>
                <w:rFonts w:ascii="Arial" w:eastAsia="Times New Roman" w:hAnsi="Arial" w:cs="Arial"/>
                <w:color w:val="000000"/>
                <w:sz w:val="20"/>
                <w:szCs w:val="20"/>
              </w:rPr>
              <w:t xml:space="preserve"> sativa/Triticum </w:t>
            </w:r>
            <w:proofErr w:type="spellStart"/>
            <w:r w:rsidRPr="007F77F2">
              <w:rPr>
                <w:rFonts w:ascii="Arial" w:eastAsia="Times New Roman" w:hAnsi="Arial" w:cs="Arial"/>
                <w:color w:val="000000"/>
                <w:sz w:val="20"/>
                <w:szCs w:val="20"/>
              </w:rPr>
              <w:t>aestivum</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14:paraId="249A4F6C"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15.00</w:t>
            </w:r>
          </w:p>
        </w:tc>
        <w:tc>
          <w:tcPr>
            <w:tcW w:w="1260" w:type="dxa"/>
            <w:tcBorders>
              <w:top w:val="nil"/>
              <w:left w:val="nil"/>
              <w:bottom w:val="single" w:sz="4" w:space="0" w:color="auto"/>
              <w:right w:val="single" w:sz="4" w:space="0" w:color="auto"/>
            </w:tcBorders>
            <w:shd w:val="clear" w:color="auto" w:fill="auto"/>
            <w:noWrap/>
            <w:vAlign w:val="bottom"/>
            <w:hideMark/>
          </w:tcPr>
          <w:p w14:paraId="4EE596E9"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60.85%</w:t>
            </w:r>
          </w:p>
        </w:tc>
        <w:tc>
          <w:tcPr>
            <w:tcW w:w="1106" w:type="dxa"/>
            <w:tcBorders>
              <w:top w:val="nil"/>
              <w:left w:val="nil"/>
              <w:bottom w:val="single" w:sz="4" w:space="0" w:color="auto"/>
              <w:right w:val="single" w:sz="4" w:space="0" w:color="auto"/>
            </w:tcBorders>
            <w:shd w:val="clear" w:color="auto" w:fill="auto"/>
            <w:noWrap/>
            <w:vAlign w:val="bottom"/>
            <w:hideMark/>
          </w:tcPr>
          <w:p w14:paraId="58DB36B8"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6.68</w:t>
            </w:r>
          </w:p>
        </w:tc>
        <w:tc>
          <w:tcPr>
            <w:tcW w:w="1097" w:type="dxa"/>
            <w:tcBorders>
              <w:top w:val="nil"/>
              <w:left w:val="nil"/>
              <w:bottom w:val="single" w:sz="4" w:space="0" w:color="auto"/>
              <w:right w:val="single" w:sz="4" w:space="0" w:color="auto"/>
            </w:tcBorders>
            <w:shd w:val="clear" w:color="auto" w:fill="auto"/>
            <w:noWrap/>
            <w:vAlign w:val="bottom"/>
            <w:hideMark/>
          </w:tcPr>
          <w:p w14:paraId="6CCF1505" w14:textId="77777777" w:rsidR="007F77F2" w:rsidRPr="007F77F2" w:rsidRDefault="007F77F2" w:rsidP="007F77F2">
            <w:pPr>
              <w:jc w:val="right"/>
              <w:rPr>
                <w:rFonts w:ascii="Arial" w:eastAsia="Times New Roman" w:hAnsi="Arial" w:cs="Arial"/>
                <w:color w:val="000000"/>
                <w:sz w:val="20"/>
                <w:szCs w:val="20"/>
              </w:rPr>
            </w:pPr>
            <w:r w:rsidRPr="007F77F2">
              <w:rPr>
                <w:rFonts w:ascii="Arial" w:eastAsia="Times New Roman" w:hAnsi="Arial" w:cs="Arial"/>
                <w:color w:val="000000"/>
                <w:sz w:val="20"/>
                <w:szCs w:val="20"/>
              </w:rPr>
              <w:t>8.12%</w:t>
            </w:r>
          </w:p>
        </w:tc>
      </w:tr>
      <w:tr w:rsidR="007F77F2" w:rsidRPr="007F77F2" w14:paraId="193D0AEB" w14:textId="77777777" w:rsidTr="003D7F79">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74CD382F"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w:t>
            </w:r>
          </w:p>
        </w:tc>
        <w:tc>
          <w:tcPr>
            <w:tcW w:w="2340" w:type="dxa"/>
            <w:tcBorders>
              <w:top w:val="nil"/>
              <w:left w:val="nil"/>
              <w:bottom w:val="single" w:sz="4" w:space="0" w:color="auto"/>
              <w:right w:val="single" w:sz="4" w:space="0" w:color="auto"/>
            </w:tcBorders>
            <w:shd w:val="clear" w:color="000000" w:fill="9BC2E6"/>
            <w:noWrap/>
            <w:vAlign w:val="bottom"/>
            <w:hideMark/>
          </w:tcPr>
          <w:p w14:paraId="7FF164FF"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w:t>
            </w:r>
          </w:p>
        </w:tc>
        <w:tc>
          <w:tcPr>
            <w:tcW w:w="2970" w:type="dxa"/>
            <w:tcBorders>
              <w:top w:val="nil"/>
              <w:left w:val="nil"/>
              <w:bottom w:val="single" w:sz="4" w:space="0" w:color="auto"/>
              <w:right w:val="single" w:sz="4" w:space="0" w:color="auto"/>
            </w:tcBorders>
            <w:shd w:val="clear" w:color="000000" w:fill="9BC2E6"/>
            <w:noWrap/>
            <w:vAlign w:val="bottom"/>
            <w:hideMark/>
          </w:tcPr>
          <w:p w14:paraId="6ABC89A3"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Cover Crop Subtotal</w:t>
            </w:r>
          </w:p>
        </w:tc>
        <w:tc>
          <w:tcPr>
            <w:tcW w:w="810" w:type="dxa"/>
            <w:tcBorders>
              <w:top w:val="nil"/>
              <w:left w:val="nil"/>
              <w:bottom w:val="single" w:sz="4" w:space="0" w:color="auto"/>
              <w:right w:val="single" w:sz="4" w:space="0" w:color="auto"/>
            </w:tcBorders>
            <w:shd w:val="clear" w:color="000000" w:fill="9BC2E6"/>
            <w:noWrap/>
            <w:vAlign w:val="bottom"/>
            <w:hideMark/>
          </w:tcPr>
          <w:p w14:paraId="5DF92DEC"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15.00</w:t>
            </w:r>
          </w:p>
        </w:tc>
        <w:tc>
          <w:tcPr>
            <w:tcW w:w="1260" w:type="dxa"/>
            <w:tcBorders>
              <w:top w:val="nil"/>
              <w:left w:val="nil"/>
              <w:bottom w:val="single" w:sz="4" w:space="0" w:color="auto"/>
              <w:right w:val="single" w:sz="4" w:space="0" w:color="auto"/>
            </w:tcBorders>
            <w:shd w:val="clear" w:color="000000" w:fill="9BC2E6"/>
            <w:noWrap/>
            <w:vAlign w:val="bottom"/>
            <w:hideMark/>
          </w:tcPr>
          <w:p w14:paraId="3B638C4E"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60.85%</w:t>
            </w:r>
          </w:p>
        </w:tc>
        <w:tc>
          <w:tcPr>
            <w:tcW w:w="1106" w:type="dxa"/>
            <w:tcBorders>
              <w:top w:val="nil"/>
              <w:left w:val="nil"/>
              <w:bottom w:val="single" w:sz="4" w:space="0" w:color="auto"/>
              <w:right w:val="single" w:sz="4" w:space="0" w:color="auto"/>
            </w:tcBorders>
            <w:shd w:val="clear" w:color="000000" w:fill="9BC2E6"/>
            <w:noWrap/>
            <w:vAlign w:val="bottom"/>
            <w:hideMark/>
          </w:tcPr>
          <w:p w14:paraId="750A5071"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6.68</w:t>
            </w:r>
          </w:p>
        </w:tc>
        <w:tc>
          <w:tcPr>
            <w:tcW w:w="1097" w:type="dxa"/>
            <w:tcBorders>
              <w:top w:val="nil"/>
              <w:left w:val="nil"/>
              <w:bottom w:val="single" w:sz="4" w:space="0" w:color="auto"/>
              <w:right w:val="single" w:sz="4" w:space="0" w:color="auto"/>
            </w:tcBorders>
            <w:shd w:val="clear" w:color="000000" w:fill="9BC2E6"/>
            <w:noWrap/>
            <w:vAlign w:val="bottom"/>
            <w:hideMark/>
          </w:tcPr>
          <w:p w14:paraId="27BD0387"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8.12%</w:t>
            </w:r>
          </w:p>
        </w:tc>
      </w:tr>
      <w:tr w:rsidR="007F77F2" w:rsidRPr="007F77F2" w14:paraId="2A73F663" w14:textId="77777777" w:rsidTr="003D7F79">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55D887AD"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w:t>
            </w:r>
          </w:p>
        </w:tc>
        <w:tc>
          <w:tcPr>
            <w:tcW w:w="2340" w:type="dxa"/>
            <w:tcBorders>
              <w:top w:val="nil"/>
              <w:left w:val="nil"/>
              <w:bottom w:val="single" w:sz="4" w:space="0" w:color="auto"/>
              <w:right w:val="single" w:sz="4" w:space="0" w:color="auto"/>
            </w:tcBorders>
            <w:shd w:val="clear" w:color="000000" w:fill="9BC2E6"/>
            <w:noWrap/>
            <w:vAlign w:val="bottom"/>
            <w:hideMark/>
          </w:tcPr>
          <w:p w14:paraId="6ED9DB6D"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 </w:t>
            </w:r>
          </w:p>
        </w:tc>
        <w:tc>
          <w:tcPr>
            <w:tcW w:w="2970" w:type="dxa"/>
            <w:tcBorders>
              <w:top w:val="nil"/>
              <w:left w:val="nil"/>
              <w:bottom w:val="single" w:sz="4" w:space="0" w:color="auto"/>
              <w:right w:val="single" w:sz="4" w:space="0" w:color="auto"/>
            </w:tcBorders>
            <w:shd w:val="clear" w:color="000000" w:fill="9BC2E6"/>
            <w:noWrap/>
            <w:vAlign w:val="bottom"/>
            <w:hideMark/>
          </w:tcPr>
          <w:p w14:paraId="36C3CDCC" w14:textId="77777777" w:rsidR="007F77F2" w:rsidRPr="007F77F2" w:rsidRDefault="007F77F2" w:rsidP="007F77F2">
            <w:pPr>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Total</w:t>
            </w:r>
          </w:p>
        </w:tc>
        <w:tc>
          <w:tcPr>
            <w:tcW w:w="810" w:type="dxa"/>
            <w:tcBorders>
              <w:top w:val="nil"/>
              <w:left w:val="nil"/>
              <w:bottom w:val="single" w:sz="4" w:space="0" w:color="auto"/>
              <w:right w:val="single" w:sz="4" w:space="0" w:color="auto"/>
            </w:tcBorders>
            <w:shd w:val="clear" w:color="000000" w:fill="9BC2E6"/>
            <w:noWrap/>
            <w:vAlign w:val="bottom"/>
            <w:hideMark/>
          </w:tcPr>
          <w:p w14:paraId="10BAE5DA"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24.65</w:t>
            </w:r>
          </w:p>
        </w:tc>
        <w:tc>
          <w:tcPr>
            <w:tcW w:w="1260" w:type="dxa"/>
            <w:tcBorders>
              <w:top w:val="nil"/>
              <w:left w:val="nil"/>
              <w:bottom w:val="single" w:sz="4" w:space="0" w:color="auto"/>
              <w:right w:val="single" w:sz="4" w:space="0" w:color="auto"/>
            </w:tcBorders>
            <w:shd w:val="clear" w:color="000000" w:fill="9BC2E6"/>
            <w:noWrap/>
            <w:vAlign w:val="bottom"/>
            <w:hideMark/>
          </w:tcPr>
          <w:p w14:paraId="6D108E65"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100.00%</w:t>
            </w:r>
          </w:p>
        </w:tc>
        <w:tc>
          <w:tcPr>
            <w:tcW w:w="1106" w:type="dxa"/>
            <w:tcBorders>
              <w:top w:val="nil"/>
              <w:left w:val="nil"/>
              <w:bottom w:val="single" w:sz="4" w:space="0" w:color="auto"/>
              <w:right w:val="single" w:sz="4" w:space="0" w:color="auto"/>
            </w:tcBorders>
            <w:shd w:val="clear" w:color="000000" w:fill="9BC2E6"/>
            <w:noWrap/>
            <w:vAlign w:val="bottom"/>
            <w:hideMark/>
          </w:tcPr>
          <w:p w14:paraId="2F33AD5B"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82.27</w:t>
            </w:r>
          </w:p>
        </w:tc>
        <w:tc>
          <w:tcPr>
            <w:tcW w:w="1097" w:type="dxa"/>
            <w:tcBorders>
              <w:top w:val="nil"/>
              <w:left w:val="nil"/>
              <w:bottom w:val="single" w:sz="4" w:space="0" w:color="auto"/>
              <w:right w:val="single" w:sz="4" w:space="0" w:color="auto"/>
            </w:tcBorders>
            <w:shd w:val="clear" w:color="000000" w:fill="9BC2E6"/>
            <w:noWrap/>
            <w:vAlign w:val="bottom"/>
            <w:hideMark/>
          </w:tcPr>
          <w:p w14:paraId="6C8E4EDA" w14:textId="77777777" w:rsidR="007F77F2" w:rsidRPr="007F77F2" w:rsidRDefault="007F77F2" w:rsidP="007F77F2">
            <w:pPr>
              <w:jc w:val="right"/>
              <w:rPr>
                <w:rFonts w:ascii="Arial" w:eastAsia="Times New Roman" w:hAnsi="Arial" w:cs="Arial"/>
                <w:b/>
                <w:bCs/>
                <w:color w:val="000000"/>
                <w:sz w:val="20"/>
                <w:szCs w:val="20"/>
              </w:rPr>
            </w:pPr>
            <w:r w:rsidRPr="007F77F2">
              <w:rPr>
                <w:rFonts w:ascii="Arial" w:eastAsia="Times New Roman" w:hAnsi="Arial" w:cs="Arial"/>
                <w:b/>
                <w:bCs/>
                <w:color w:val="000000"/>
                <w:sz w:val="20"/>
                <w:szCs w:val="20"/>
              </w:rPr>
              <w:t>100.00%</w:t>
            </w:r>
          </w:p>
        </w:tc>
      </w:tr>
    </w:tbl>
    <w:p w14:paraId="3C2927F4" w14:textId="77777777" w:rsidR="008B1449" w:rsidRDefault="008B1449" w:rsidP="6CE651A0">
      <w:pPr>
        <w:rPr>
          <w:rFonts w:asciiTheme="majorHAnsi" w:hAnsiTheme="majorHAnsi" w:cstheme="majorBidi"/>
          <w:b/>
          <w:bCs/>
          <w:sz w:val="40"/>
          <w:szCs w:val="40"/>
        </w:rPr>
      </w:pPr>
    </w:p>
    <w:p w14:paraId="1B2D37D8" w14:textId="41B79DAF" w:rsidR="00830F5A" w:rsidRDefault="1E7CB482" w:rsidP="6CE651A0">
      <w:pPr>
        <w:rPr>
          <w:rFonts w:asciiTheme="majorHAnsi" w:hAnsiTheme="majorHAnsi" w:cstheme="majorBidi"/>
          <w:b/>
          <w:bCs/>
          <w:sz w:val="40"/>
          <w:szCs w:val="40"/>
        </w:rPr>
      </w:pPr>
      <w:r w:rsidRPr="6CE651A0">
        <w:rPr>
          <w:rFonts w:asciiTheme="majorHAnsi" w:hAnsiTheme="majorHAnsi" w:cstheme="majorBidi"/>
          <w:b/>
          <w:bCs/>
          <w:sz w:val="40"/>
          <w:szCs w:val="40"/>
        </w:rPr>
        <w:t xml:space="preserve">Mid Diversity </w:t>
      </w:r>
      <w:r w:rsidR="002061A0" w:rsidRPr="6CE651A0">
        <w:rPr>
          <w:rFonts w:asciiTheme="majorHAnsi" w:hAnsiTheme="majorHAnsi" w:cstheme="majorBidi"/>
          <w:b/>
          <w:bCs/>
          <w:sz w:val="40"/>
          <w:szCs w:val="40"/>
        </w:rPr>
        <w:t xml:space="preserve">Solar Array </w:t>
      </w:r>
      <w:r w:rsidR="4D27E306" w:rsidRPr="6CE651A0">
        <w:rPr>
          <w:rFonts w:asciiTheme="majorHAnsi" w:hAnsiTheme="majorHAnsi" w:cstheme="majorBidi"/>
          <w:b/>
          <w:bCs/>
          <w:sz w:val="40"/>
          <w:szCs w:val="40"/>
        </w:rPr>
        <w:t xml:space="preserve">Dry Soil </w:t>
      </w:r>
      <w:r w:rsidR="002061A0" w:rsidRPr="6CE651A0">
        <w:rPr>
          <w:rFonts w:asciiTheme="majorHAnsi" w:hAnsiTheme="majorHAnsi" w:cstheme="majorBidi"/>
          <w:b/>
          <w:bCs/>
          <w:sz w:val="40"/>
          <w:szCs w:val="40"/>
        </w:rPr>
        <w:t>South and West Seed</w:t>
      </w:r>
      <w:r w:rsidR="00830F5A" w:rsidRPr="6CE651A0">
        <w:rPr>
          <w:rFonts w:asciiTheme="majorHAnsi" w:hAnsiTheme="majorHAnsi" w:cstheme="majorBidi"/>
          <w:b/>
          <w:bCs/>
          <w:sz w:val="40"/>
          <w:szCs w:val="40"/>
        </w:rPr>
        <w:t xml:space="preserve"> Mix </w:t>
      </w:r>
      <w:bookmarkEnd w:id="0"/>
      <w:r w:rsidR="00830F5A" w:rsidRPr="6CE651A0">
        <w:rPr>
          <w:rFonts w:asciiTheme="majorHAnsi" w:hAnsiTheme="majorHAnsi" w:cstheme="majorBidi"/>
          <w:b/>
          <w:bCs/>
          <w:sz w:val="40"/>
          <w:szCs w:val="40"/>
        </w:rPr>
        <w:t xml:space="preserve">Guidance </w:t>
      </w:r>
    </w:p>
    <w:p w14:paraId="30C4132A" w14:textId="77777777" w:rsidR="00830F5A" w:rsidRDefault="00830F5A" w:rsidP="00830F5A">
      <w:pPr>
        <w:rPr>
          <w:rFonts w:asciiTheme="majorHAnsi" w:hAnsiTheme="majorHAnsi" w:cstheme="majorHAnsi"/>
          <w:b/>
          <w:bCs/>
        </w:rPr>
      </w:pPr>
      <w:r>
        <w:rPr>
          <w:rFonts w:asciiTheme="majorHAnsi" w:hAnsiTheme="majorHAnsi" w:cstheme="majorHAnsi"/>
          <w:b/>
          <w:bCs/>
        </w:rPr>
        <w:t>(MIX IMAGE)</w:t>
      </w:r>
    </w:p>
    <w:p w14:paraId="6D2006D9" w14:textId="77777777" w:rsidR="00830F5A" w:rsidRDefault="00830F5A" w:rsidP="00830F5A">
      <w:pPr>
        <w:rPr>
          <w:b/>
          <w:bCs/>
        </w:rPr>
      </w:pPr>
    </w:p>
    <w:p w14:paraId="00B3B5D0" w14:textId="748AF3DE" w:rsidR="00830F5A" w:rsidRDefault="00830F5A" w:rsidP="00830F5A">
      <w:r w:rsidRPr="6CE651A0">
        <w:rPr>
          <w:b/>
          <w:bCs/>
        </w:rPr>
        <w:t>Seed mix name:</w:t>
      </w:r>
      <w:r>
        <w:t xml:space="preserve"> </w:t>
      </w:r>
      <w:r w:rsidR="1ADF509B">
        <w:t xml:space="preserve">Mid Diversity </w:t>
      </w:r>
      <w:r w:rsidR="002061A0">
        <w:t xml:space="preserve">Solar Array </w:t>
      </w:r>
      <w:r w:rsidR="0A0D4F66">
        <w:t xml:space="preserve">Dry Soil </w:t>
      </w:r>
      <w:r w:rsidR="002061A0">
        <w:t>South and West</w:t>
      </w:r>
      <w:r w:rsidR="6A0869FE">
        <w:t xml:space="preserve"> 39-221</w:t>
      </w:r>
      <w:r>
        <w:t xml:space="preserve"> </w:t>
      </w:r>
    </w:p>
    <w:p w14:paraId="09528D29" w14:textId="59100802" w:rsidR="00830F5A" w:rsidRDefault="00830F5A" w:rsidP="00830F5A">
      <w:r>
        <w:rPr>
          <w:b/>
          <w:bCs/>
        </w:rPr>
        <w:t>Geographic area:</w:t>
      </w:r>
      <w:r>
        <w:t xml:space="preserve"> </w:t>
      </w:r>
      <w:r w:rsidR="00431A61">
        <w:t xml:space="preserve">Southern and Western </w:t>
      </w:r>
      <w:r>
        <w:t xml:space="preserve">Minnesota </w:t>
      </w:r>
    </w:p>
    <w:p w14:paraId="3EFE11E5" w14:textId="5F016905" w:rsidR="00830F5A" w:rsidRDefault="00830F5A" w:rsidP="00830F5A">
      <w:r>
        <w:rPr>
          <w:b/>
          <w:bCs/>
        </w:rPr>
        <w:t xml:space="preserve">Year of development: </w:t>
      </w:r>
      <w:r>
        <w:t>20</w:t>
      </w:r>
      <w:r w:rsidR="004A35FC">
        <w:t>23</w:t>
      </w:r>
    </w:p>
    <w:p w14:paraId="340165C8" w14:textId="138BA15A" w:rsidR="00830F5A" w:rsidRDefault="00830F5A" w:rsidP="00830F5A">
      <w:r>
        <w:rPr>
          <w:b/>
          <w:bCs/>
        </w:rPr>
        <w:t>Year/s of update:</w:t>
      </w:r>
      <w:r>
        <w:t xml:space="preserve">  202</w:t>
      </w:r>
      <w:r w:rsidR="006A06D9">
        <w:t>3</w:t>
      </w:r>
    </w:p>
    <w:p w14:paraId="34AA74E3" w14:textId="77777777" w:rsidR="00830F5A" w:rsidRDefault="00830F5A" w:rsidP="00830F5A">
      <w:r>
        <w:rPr>
          <w:b/>
          <w:bCs/>
        </w:rPr>
        <w:t>Status</w:t>
      </w:r>
      <w:r>
        <w:t xml:space="preserve"> </w:t>
      </w:r>
      <w:r>
        <w:rPr>
          <w:b/>
          <w:bCs/>
        </w:rPr>
        <w:t>(</w:t>
      </w:r>
      <w:r>
        <w:rPr>
          <w:b/>
          <w:bCs/>
          <w:i/>
          <w:iCs/>
        </w:rPr>
        <w:t>Standard or Pilot mix</w:t>
      </w:r>
      <w:r>
        <w:rPr>
          <w:b/>
          <w:bCs/>
        </w:rPr>
        <w:t>):</w:t>
      </w:r>
      <w:r>
        <w:t xml:space="preserve"> Pilot</w:t>
      </w:r>
    </w:p>
    <w:p w14:paraId="0A52EA08" w14:textId="77777777" w:rsidR="00830F5A" w:rsidRDefault="00830F5A" w:rsidP="00830F5A">
      <w:pPr>
        <w:rPr>
          <w:b/>
          <w:bCs/>
        </w:rPr>
      </w:pPr>
      <w:r>
        <w:rPr>
          <w:b/>
          <w:bCs/>
        </w:rPr>
        <w:t xml:space="preserve">Primary and Secondary Functions: </w:t>
      </w:r>
    </w:p>
    <w:p w14:paraId="29E8E5E9" w14:textId="38871BF5" w:rsidR="00830F5A" w:rsidRDefault="00830F5A" w:rsidP="00830F5A">
      <w:r>
        <w:rPr>
          <w:rStyle w:val="IntenseEmphasis"/>
          <w:color w:val="2F5496" w:themeColor="accent1" w:themeShade="BF"/>
        </w:rPr>
        <w:t>Primary</w:t>
      </w:r>
      <w:r>
        <w:t xml:space="preserve"> –</w:t>
      </w:r>
      <w:r w:rsidR="0013359A">
        <w:t xml:space="preserve"> Establish habitat </w:t>
      </w:r>
      <w:r w:rsidR="00431A61">
        <w:t>under</w:t>
      </w:r>
      <w:r w:rsidR="0013359A">
        <w:t xml:space="preserve"> solar panels that provides </w:t>
      </w:r>
      <w:r>
        <w:t>habitat for pollinators and other invertebrates</w:t>
      </w:r>
      <w:r w:rsidR="0013359A">
        <w:t xml:space="preserve">, </w:t>
      </w:r>
      <w:r>
        <w:t>improve</w:t>
      </w:r>
      <w:r w:rsidR="0013359A">
        <w:t>s</w:t>
      </w:r>
      <w:r>
        <w:t xml:space="preserve"> habitat for beneficial soil organisms</w:t>
      </w:r>
      <w:r w:rsidR="0013359A">
        <w:t xml:space="preserve"> and provides cooling of solar </w:t>
      </w:r>
      <w:proofErr w:type="gramStart"/>
      <w:r w:rsidR="0013359A">
        <w:t>panels</w:t>
      </w:r>
      <w:proofErr w:type="gramEnd"/>
      <w:r>
        <w:t xml:space="preserve"> </w:t>
      </w:r>
    </w:p>
    <w:p w14:paraId="66C8ED8A" w14:textId="629475D8" w:rsidR="00830F5A" w:rsidRDefault="00830F5A" w:rsidP="00830F5A">
      <w:r>
        <w:rPr>
          <w:rStyle w:val="IntenseEmphasis"/>
          <w:color w:val="2F5496" w:themeColor="accent1" w:themeShade="BF"/>
        </w:rPr>
        <w:t>Secondary</w:t>
      </w:r>
      <w:r>
        <w:t xml:space="preserve"> – Carbon sequestration, </w:t>
      </w:r>
      <w:r w:rsidR="0013359A">
        <w:t xml:space="preserve">habitat for birds and other </w:t>
      </w:r>
      <w:r>
        <w:t xml:space="preserve">wildlife </w:t>
      </w:r>
    </w:p>
    <w:p w14:paraId="454DB56D" w14:textId="079CF7E3" w:rsidR="00830F5A" w:rsidRDefault="00830F5A" w:rsidP="6CE651A0">
      <w:pPr>
        <w:rPr>
          <w:rFonts w:eastAsia="Calibri"/>
          <w:color w:val="000000" w:themeColor="text1"/>
        </w:rPr>
      </w:pPr>
      <w:r w:rsidRPr="6CE651A0">
        <w:rPr>
          <w:b/>
          <w:bCs/>
        </w:rPr>
        <w:t>Similar State Mixes:</w:t>
      </w:r>
      <w:r>
        <w:t xml:space="preserve"> </w:t>
      </w:r>
      <w:r w:rsidR="07E88270" w:rsidRPr="6CE651A0">
        <w:rPr>
          <w:rFonts w:eastAsia="Calibri"/>
          <w:color w:val="000000" w:themeColor="text1"/>
        </w:rPr>
        <w:t xml:space="preserve">39-641 Mid Diversity Solar Array Mesic Soil Northeast, 39-241 Mid Diversity Solar Array Mesic Soil South and West, </w:t>
      </w:r>
      <w:r w:rsidR="11F2FA0B" w:rsidRPr="6CE651A0">
        <w:rPr>
          <w:rFonts w:eastAsia="Calibri"/>
          <w:color w:val="000000" w:themeColor="text1"/>
        </w:rPr>
        <w:t xml:space="preserve">39-551 </w:t>
      </w:r>
      <w:r w:rsidR="07E88270" w:rsidRPr="6CE651A0">
        <w:rPr>
          <w:rFonts w:eastAsia="Calibri"/>
          <w:color w:val="000000" w:themeColor="text1"/>
        </w:rPr>
        <w:t xml:space="preserve">Mid Diversity Solar Array </w:t>
      </w:r>
      <w:r w:rsidR="59635D6C" w:rsidRPr="6CE651A0">
        <w:rPr>
          <w:rFonts w:eastAsia="Calibri"/>
          <w:color w:val="000000" w:themeColor="text1"/>
        </w:rPr>
        <w:t xml:space="preserve">Moist Soil </w:t>
      </w:r>
      <w:r w:rsidR="07E88270" w:rsidRPr="6CE651A0">
        <w:rPr>
          <w:rFonts w:eastAsia="Calibri"/>
          <w:color w:val="000000" w:themeColor="text1"/>
        </w:rPr>
        <w:t>South and West, 39-2</w:t>
      </w:r>
      <w:r w:rsidR="007760DC">
        <w:rPr>
          <w:rFonts w:eastAsia="Calibri"/>
          <w:color w:val="000000" w:themeColor="text1"/>
        </w:rPr>
        <w:t>42</w:t>
      </w:r>
      <w:r w:rsidR="07E88270" w:rsidRPr="6CE651A0">
        <w:rPr>
          <w:rFonts w:eastAsia="Calibri"/>
          <w:color w:val="000000" w:themeColor="text1"/>
        </w:rPr>
        <w:t xml:space="preserve"> High Diversity Solar Array Mesic Soil South and West</w:t>
      </w:r>
    </w:p>
    <w:p w14:paraId="0904830F" w14:textId="77777777" w:rsidR="00B302D6" w:rsidRDefault="00B302D6" w:rsidP="00B302D6">
      <w:r>
        <w:rPr>
          <w:b/>
          <w:bCs/>
        </w:rPr>
        <w:t>Compatible NRCS Practice Standards:</w:t>
      </w:r>
      <w:r>
        <w:t xml:space="preserve"> Not designed to meet a </w:t>
      </w:r>
      <w:proofErr w:type="gramStart"/>
      <w:r>
        <w:t>standard</w:t>
      </w:r>
      <w:proofErr w:type="gramEnd"/>
    </w:p>
    <w:p w14:paraId="0D249864" w14:textId="77777777" w:rsidR="00B302D6" w:rsidRDefault="00B302D6" w:rsidP="00B302D6">
      <w:r>
        <w:rPr>
          <w:b/>
          <w:bCs/>
        </w:rPr>
        <w:t>Compatible Minnesota CRP Practices:</w:t>
      </w:r>
      <w:r>
        <w:t xml:space="preserve"> None</w:t>
      </w:r>
    </w:p>
    <w:p w14:paraId="4FF6E1CF" w14:textId="77777777" w:rsidR="00B302D6" w:rsidRDefault="00B302D6" w:rsidP="00B302D6">
      <w:pPr>
        <w:spacing w:line="276" w:lineRule="auto"/>
        <w:rPr>
          <w:b/>
          <w:bCs/>
        </w:rPr>
      </w:pPr>
      <w:r>
        <w:rPr>
          <w:b/>
          <w:bCs/>
        </w:rPr>
        <w:lastRenderedPageBreak/>
        <w:t>Suitable Site Conditions</w:t>
      </w:r>
    </w:p>
    <w:p w14:paraId="4D41A5DA" w14:textId="77777777" w:rsidR="00B302D6" w:rsidRDefault="00B302D6" w:rsidP="00B302D6">
      <w:r>
        <w:t xml:space="preserve">Areas with mesic soils and full sun for at least 70% of the day where land is being converted from other uses such as lawn or agricultural fields like row crops or pasture.  </w:t>
      </w:r>
    </w:p>
    <w:p w14:paraId="6A848C5C" w14:textId="77777777" w:rsidR="00B302D6" w:rsidRDefault="00B302D6" w:rsidP="00B302D6">
      <w:pPr>
        <w:spacing w:before="120" w:line="276" w:lineRule="auto"/>
        <w:rPr>
          <w:b/>
          <w:bCs/>
        </w:rPr>
      </w:pPr>
      <w:r>
        <w:rPr>
          <w:b/>
          <w:bCs/>
        </w:rPr>
        <w:t>Seed Mix Highlights</w:t>
      </w:r>
    </w:p>
    <w:p w14:paraId="7A09A266" w14:textId="77777777" w:rsidR="00B302D6" w:rsidRDefault="00B302D6" w:rsidP="00B302D6">
      <w:pPr>
        <w:rPr>
          <w:bCs/>
        </w:rPr>
      </w:pPr>
      <w:r>
        <w:rPr>
          <w:bCs/>
        </w:rPr>
        <w:t>This mix has been designed for solar projects as a groundcover under panel as part of solar arrays to provide benefits to a wide range of wildlife species. The mix includes combinations of grasses, sedges, and forbs to provide year-round cover and forage to pollinators.</w:t>
      </w:r>
    </w:p>
    <w:p w14:paraId="5EA8225B" w14:textId="77777777" w:rsidR="00B302D6" w:rsidRDefault="00B302D6" w:rsidP="00B302D6">
      <w:pPr>
        <w:spacing w:before="120" w:line="276" w:lineRule="auto"/>
        <w:rPr>
          <w:b/>
          <w:bCs/>
        </w:rPr>
      </w:pPr>
      <w:r>
        <w:rPr>
          <w:b/>
          <w:bCs/>
        </w:rPr>
        <w:t>How to Customize the Mix for Unique Site Conditions and Goals</w:t>
      </w:r>
    </w:p>
    <w:p w14:paraId="733AEE46" w14:textId="77777777" w:rsidR="00B302D6" w:rsidRDefault="00B302D6" w:rsidP="00B302D6">
      <w:r>
        <w:t xml:space="preserve">Site conditions such as sunlight, soils, hydrology, and existing vegetation along with functional goals for the project such as pollinator habitat, carbon sequestration, and benefit to grassland bird species can all inform species selection and the modification of seed mixes. See the Additional Species List, which can be used to increase diversity. Use the </w:t>
      </w:r>
      <w:hyperlink r:id="rId13" w:history="1">
        <w:r>
          <w:rPr>
            <w:rStyle w:val="Hyperlink"/>
          </w:rPr>
          <w:t>BWSR Seed Mix Substitution Table</w:t>
        </w:r>
      </w:hyperlink>
      <w:r>
        <w:t xml:space="preserve"> when species are not available from vendors, or the landowner has alternative goals for the site.</w:t>
      </w:r>
    </w:p>
    <w:p w14:paraId="36D3DEE1" w14:textId="77777777" w:rsidR="00B302D6" w:rsidRDefault="00B302D6" w:rsidP="00B302D6">
      <w:pPr>
        <w:pStyle w:val="Default"/>
        <w:spacing w:before="120" w:line="276" w:lineRule="auto"/>
        <w:rPr>
          <w:b/>
          <w:bCs/>
          <w:sz w:val="22"/>
          <w:szCs w:val="22"/>
        </w:rPr>
      </w:pPr>
      <w:r>
        <w:rPr>
          <w:b/>
          <w:bCs/>
          <w:sz w:val="22"/>
          <w:szCs w:val="22"/>
        </w:rPr>
        <w:t>Site Preparation</w:t>
      </w:r>
    </w:p>
    <w:p w14:paraId="791A237E" w14:textId="77777777" w:rsidR="00B302D6" w:rsidRDefault="00B302D6" w:rsidP="00B302D6">
      <w:pPr>
        <w:pStyle w:val="Default"/>
        <w:rPr>
          <w:sz w:val="22"/>
          <w:szCs w:val="22"/>
        </w:rPr>
      </w:pPr>
      <w:r>
        <w:rPr>
          <w:sz w:val="22"/>
          <w:szCs w:val="22"/>
        </w:rPr>
        <w:t xml:space="preserve">The primary goal of site preparation is to provide growing conditions that are good for native seed or plant establishment. Preparation methods may vary depending on site conditions. For example, sites with introduced perennial grasses such as smooth brome grass require different suppression techniques than sites that have been farmed with row crops. Site specific conditions should be considered when selecting site preparation techniques: current vegetation, potential desirable and undesirable species in the seed bank, previous pesticide use on site, and potential for soil erosion. Annual cover crops or row crops can be used in preparation for a native planting if they are not grown with persistent pesticides such as neonicotinoids or other long-lasting chemicals that may negatively impact pollinators or native vegetation establishment. For example, following soybean harvest, an un-tilled soybean field provides a good seedbed with potentially little plant residue for planting native prairie mixes. However, the chemical program used to grow soybeans could include herbicides that have a lengthy herbicide carryover. Make sure to research which chemicals were used in crop production to determine if there is a rotation restriction prior to planting.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4" w:history="1">
        <w:r>
          <w:rPr>
            <w:rStyle w:val="Hyperlink"/>
            <w:sz w:val="22"/>
            <w:szCs w:val="22"/>
          </w:rPr>
          <w:t>Organic Site Preparation for Wildflower Establishment</w:t>
        </w:r>
      </w:hyperlink>
      <w:r>
        <w:rPr>
          <w:sz w:val="22"/>
          <w:szCs w:val="22"/>
        </w:rPr>
        <w:t xml:space="preserve">. </w:t>
      </w:r>
    </w:p>
    <w:p w14:paraId="7AD09D18" w14:textId="77777777" w:rsidR="00B302D6" w:rsidRDefault="00B302D6" w:rsidP="00B302D6">
      <w:pPr>
        <w:autoSpaceDE w:val="0"/>
        <w:autoSpaceDN w:val="0"/>
        <w:adjustRightInd w:val="0"/>
        <w:spacing w:before="120"/>
        <w:rPr>
          <w:rFonts w:asciiTheme="minorHAnsi" w:hAnsiTheme="minorHAnsi" w:cstheme="minorHAnsi"/>
          <w:color w:val="000000"/>
        </w:rPr>
      </w:pPr>
      <w:r>
        <w:rPr>
          <w:rFonts w:asciiTheme="minorHAnsi" w:hAnsiTheme="minorHAnsi" w:cstheme="minorHAnsi"/>
          <w:b/>
          <w:bCs/>
          <w:i/>
          <w:iCs/>
          <w:color w:val="000000"/>
        </w:rPr>
        <w:t xml:space="preserve">Temporary Cover Crops </w:t>
      </w:r>
    </w:p>
    <w:p w14:paraId="30279988" w14:textId="77777777" w:rsidR="00B302D6" w:rsidRDefault="00B302D6" w:rsidP="00B302D6">
      <w:r>
        <w:rPr>
          <w:color w:val="000000"/>
        </w:rPr>
        <w:t xml:space="preserve">Short-lived temporary cover crops help stabilize soils in preparation for planting native seed mixes. This option can stabilize soil, and limit compaction and control weed pressure before installing permanent seed mixes. Cover crops such as oats (commonly used) should be mowed to 4-6 inches before seeds mature (or harvested upon maturity) to prevent re-seeding. </w:t>
      </w:r>
      <w:r w:rsidRPr="00BC3AD5">
        <w:rPr>
          <w:color w:val="000000"/>
        </w:rPr>
        <w:t>Residue</w:t>
      </w:r>
      <w:r>
        <w:rPr>
          <w:color w:val="000000"/>
        </w:rPr>
        <w:t xml:space="preserve"> from temporary cover crops should be minimized prior to seeding to increase seed to soil contact. It is common to seed into cover crop stubble as part of a fall dormant seeding.</w:t>
      </w:r>
    </w:p>
    <w:p w14:paraId="7A39BAF6" w14:textId="77777777" w:rsidR="00B302D6" w:rsidRDefault="00B302D6" w:rsidP="00B302D6">
      <w:pPr>
        <w:spacing w:before="120"/>
        <w:rPr>
          <w:b/>
          <w:bCs/>
        </w:rPr>
      </w:pPr>
      <w:r>
        <w:rPr>
          <w:b/>
          <w:bCs/>
        </w:rPr>
        <w:t xml:space="preserve">Seedbed preparation </w:t>
      </w:r>
    </w:p>
    <w:p w14:paraId="13C6774A" w14:textId="77777777" w:rsidR="00B302D6" w:rsidRDefault="00B302D6" w:rsidP="00B302D6">
      <w:pPr>
        <w:pStyle w:val="Default"/>
        <w:rPr>
          <w:sz w:val="22"/>
          <w:szCs w:val="22"/>
        </w:rPr>
      </w:pPr>
      <w:r>
        <w:rPr>
          <w:sz w:val="22"/>
          <w:szCs w:val="22"/>
        </w:rPr>
        <w:t xml:space="preserve">Methods used to prepare seedbeds vary depending on the type of seeding equipment used. If a traditional native seed drill will be used, a smooth, firm seedbed is required. Soybean fields usually are sufficiently prepared for a native seed drill. Sites that were recently tilled will require additional soil treatment such as light disking, field cultivation, harrowing and rolling to prepare a firm seedbed and prevent seed from being buried too deep. Native seeds have difficulty germinating if they are buried </w:t>
      </w:r>
      <w:r>
        <w:rPr>
          <w:sz w:val="22"/>
          <w:szCs w:val="22"/>
        </w:rPr>
        <w:lastRenderedPageBreak/>
        <w:t xml:space="preserve">more than ¼” deep. Broadcast seeding can be done on any crop field. Fields that have been disked, should be </w:t>
      </w:r>
      <w:proofErr w:type="spellStart"/>
      <w:r>
        <w:rPr>
          <w:sz w:val="22"/>
          <w:szCs w:val="22"/>
        </w:rPr>
        <w:t>cultipacked</w:t>
      </w:r>
      <w:proofErr w:type="spellEnd"/>
      <w:r>
        <w:rPr>
          <w:sz w:val="22"/>
          <w:szCs w:val="22"/>
        </w:rPr>
        <w:t xml:space="preserve"> or allowed to settle before seeding. </w:t>
      </w:r>
    </w:p>
    <w:p w14:paraId="3FDB188A" w14:textId="77777777" w:rsidR="00B302D6" w:rsidRDefault="00B302D6" w:rsidP="00B302D6">
      <w:pPr>
        <w:pStyle w:val="Default"/>
      </w:pPr>
    </w:p>
    <w:p w14:paraId="53494AFC" w14:textId="77777777" w:rsidR="00B302D6" w:rsidRDefault="00B302D6" w:rsidP="00B302D6">
      <w:pPr>
        <w:spacing w:before="120"/>
        <w:rPr>
          <w:b/>
          <w:bCs/>
        </w:rPr>
      </w:pPr>
      <w:r>
        <w:rPr>
          <w:b/>
          <w:bCs/>
        </w:rPr>
        <w:t>Seeding Methods</w:t>
      </w:r>
    </w:p>
    <w:p w14:paraId="3DCE921E" w14:textId="14F02FC7" w:rsidR="00B302D6" w:rsidRDefault="00B302D6" w:rsidP="00B302D6">
      <w:r>
        <w:t xml:space="preserve">A variety of seeding equipment is used for upland </w:t>
      </w:r>
      <w:r w:rsidRPr="00BC3AD5">
        <w:t xml:space="preserve">native solar mixes </w:t>
      </w:r>
      <w:r>
        <w:t xml:space="preserve">including broadcast seeders, no-till native seed drills, Brillion seeders and Trillion seeders. Specialized native seed drills can handle a wide variety of seed (fluffy, smooth, </w:t>
      </w:r>
      <w:proofErr w:type="gramStart"/>
      <w:r>
        <w:t>large</w:t>
      </w:r>
      <w:proofErr w:type="gramEnd"/>
      <w:r>
        <w:t xml:space="preserve"> and small) and low seeding rates. Conventional grain drills are not capable of handling diverse seed sizes and are not recommended. Broadcast seeding is common for planting high or mid-diversity mixes. Broadcast seeding equipment should be used that is designed to spread mixes with different sized seeds (</w:t>
      </w:r>
      <w:r w:rsidR="0085173B">
        <w:t>e.g.,</w:t>
      </w:r>
      <w:r>
        <w:t xml:space="preserve"> Vicon Seeders). For solar projects it is common to use either a drill or broadcast seeder between panels and broadcast seeding under and around panels.</w:t>
      </w:r>
    </w:p>
    <w:p w14:paraId="38C86A4E" w14:textId="77777777" w:rsidR="00B302D6" w:rsidRDefault="00B302D6" w:rsidP="00B302D6"/>
    <w:p w14:paraId="7BA31144" w14:textId="77777777" w:rsidR="00B302D6" w:rsidRDefault="00B302D6" w:rsidP="00B302D6">
      <w:pPr>
        <w:spacing w:before="120" w:line="276" w:lineRule="auto"/>
        <w:rPr>
          <w:b/>
          <w:bCs/>
        </w:rPr>
      </w:pPr>
      <w:r>
        <w:rPr>
          <w:b/>
          <w:bCs/>
        </w:rPr>
        <w:t xml:space="preserve">Seeding Dates </w:t>
      </w:r>
    </w:p>
    <w:p w14:paraId="39DA633A" w14:textId="77777777" w:rsidR="00B302D6" w:rsidRDefault="00B302D6" w:rsidP="00B302D6">
      <w:pPr>
        <w:rPr>
          <w:color w:val="000000"/>
        </w:rPr>
      </w:pPr>
      <w:r>
        <w:rPr>
          <w:color w:val="000000"/>
        </w:rPr>
        <w:t xml:space="preserve">Forb-dominated solar high and mid-diversity seed mixes, including this mix, can be installed in the spring or fall. Fall dormant plantings are preferred and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are consistently below 50 degrees Fahrenheit (usually around October 15 in the northern half of the state and November 1 in the southern half of the state). Fall dormant seedings reduce weed pressure during the first year of growth because native cool-season grasses and forbs germinate earlier and compete with weed species right away. Frost seedings are also an option if the snow cover is shallow, ice-free, and winds are calm. For a frost seeding, seeding rates may need to be increased by 25-50 percent due to lower germination rates and loss of seed consumed by wildlife. </w:t>
      </w:r>
    </w:p>
    <w:p w14:paraId="0A1D75ED" w14:textId="77777777" w:rsidR="00B302D6" w:rsidRDefault="00B302D6" w:rsidP="00B302D6">
      <w:pPr>
        <w:spacing w:before="120"/>
        <w:rPr>
          <w:b/>
          <w:bCs/>
        </w:rPr>
      </w:pPr>
    </w:p>
    <w:p w14:paraId="2741AE03" w14:textId="77777777" w:rsidR="00B302D6" w:rsidRDefault="00B302D6" w:rsidP="00B302D6">
      <w:pPr>
        <w:spacing w:before="120"/>
        <w:rPr>
          <w:b/>
          <w:bCs/>
        </w:rPr>
      </w:pPr>
    </w:p>
    <w:p w14:paraId="1DBD6350" w14:textId="77777777" w:rsidR="00B302D6" w:rsidRDefault="00B302D6" w:rsidP="00B302D6">
      <w:pPr>
        <w:spacing w:before="120"/>
        <w:rPr>
          <w:b/>
          <w:bCs/>
        </w:rPr>
      </w:pPr>
    </w:p>
    <w:p w14:paraId="0597ACB6" w14:textId="77777777" w:rsidR="00B302D6" w:rsidRDefault="00B302D6" w:rsidP="00B302D6">
      <w:pPr>
        <w:spacing w:before="120"/>
        <w:rPr>
          <w:b/>
          <w:bCs/>
        </w:rPr>
      </w:pPr>
      <w:r>
        <w:rPr>
          <w:b/>
          <w:bCs/>
        </w:rPr>
        <w:t xml:space="preserve">Management Methods </w:t>
      </w:r>
    </w:p>
    <w:p w14:paraId="26C981E2" w14:textId="77777777" w:rsidR="00B302D6" w:rsidRDefault="00B302D6" w:rsidP="00B302D6">
      <w:pPr>
        <w:spacing w:before="120"/>
        <w:rPr>
          <w:rFonts w:asciiTheme="minorHAnsi" w:hAnsiTheme="minorHAnsi" w:cstheme="minorHAnsi"/>
          <w:i/>
          <w:iCs/>
          <w:color w:val="2F5496" w:themeColor="accent1" w:themeShade="BF"/>
          <w:sz w:val="23"/>
          <w:szCs w:val="23"/>
        </w:rPr>
      </w:pPr>
      <w:r>
        <w:rPr>
          <w:rFonts w:asciiTheme="minorHAnsi" w:hAnsiTheme="minorHAnsi" w:cstheme="minorHAnsi"/>
          <w:i/>
          <w:iCs/>
          <w:color w:val="2F5496" w:themeColor="accent1" w:themeShade="BF"/>
          <w:sz w:val="23"/>
          <w:szCs w:val="23"/>
        </w:rPr>
        <w:t>Establishment Mowing and Grazing</w:t>
      </w:r>
      <w:r>
        <w:rPr>
          <w:rFonts w:asciiTheme="minorHAnsi" w:hAnsiTheme="minorHAnsi" w:cstheme="minorHAnsi"/>
          <w:i/>
          <w:iCs/>
          <w:sz w:val="23"/>
          <w:szCs w:val="23"/>
        </w:rPr>
        <w:t>–</w:t>
      </w:r>
      <w:r>
        <w:rPr>
          <w:rFonts w:asciiTheme="minorHAnsi" w:hAnsiTheme="minorHAnsi" w:cstheme="minorHAnsi"/>
          <w:i/>
          <w:iCs/>
          <w:color w:val="2F5496" w:themeColor="accent1" w:themeShade="BF"/>
          <w:sz w:val="23"/>
          <w:szCs w:val="23"/>
        </w:rPr>
        <w:t xml:space="preserve"> </w:t>
      </w:r>
      <w:r>
        <w:t xml:space="preserve">Mowing or grazing can be an important step during the establishment of native seed mixes (first three to five years). The </w:t>
      </w:r>
      <w:bookmarkStart w:id="2" w:name="_Hlk130807161"/>
      <w:r>
        <w:t>frequency and duration of mowing will vary depending on the local climate and weed pressure at the site</w:t>
      </w:r>
      <w:bookmarkEnd w:id="2"/>
      <w:r>
        <w:t xml:space="preserve">. Expect to mow or graze at least twice during the first season and once during the second season to decrease weed competition and to provide sufficient sunlight for seedlings. Mowing or grazing should be conducted before weeds mature and seed out. It is important that mowed vegetation does not smother the planting; therefore, very productive sites may need to be mowed more often in the first year to reduce the mulching effect. Flail mowers are preferred because they cut the vegetation into smaller pieces and doesn’t leave a thick layer of thatch. Vegetation should be mowed or grazed to between four and six inches before seed is allowed to set (usually as weeds reach knee-height or 12-18 inches). Mower height should be raised as native plants establish, to avoid cutting buds or flowers. Mowing or grazing new plantings too short can reduce beneficial outcomes of a successful planting. Some grassland managers see native planting establishment success without mowing, but this varies depending on site conditions (such as soil productivity) and weed pressure. </w:t>
      </w:r>
      <w:bookmarkStart w:id="3" w:name="_Hlk130806693"/>
      <w:r>
        <w:t xml:space="preserve">If mowing large sections of the planting, consider waiting until after July 15 to protect game and songbird nesting habitat. Mowing after October 1 assists Monarch butterflies by maintaining flower resources as they migrate </w:t>
      </w:r>
      <w:proofErr w:type="gramStart"/>
      <w:r>
        <w:t>south</w:t>
      </w:r>
      <w:bookmarkEnd w:id="3"/>
      <w:proofErr w:type="gramEnd"/>
    </w:p>
    <w:p w14:paraId="1B8884AF" w14:textId="77777777" w:rsidR="00B302D6" w:rsidRDefault="00B302D6" w:rsidP="00B302D6">
      <w:pPr>
        <w:pStyle w:val="Default"/>
        <w:spacing w:before="120"/>
        <w:rPr>
          <w:rFonts w:asciiTheme="minorHAnsi" w:hAnsiTheme="minorHAnsi" w:cstheme="minorHAnsi"/>
          <w:color w:val="2F5496" w:themeColor="accent1" w:themeShade="BF"/>
          <w:sz w:val="23"/>
          <w:szCs w:val="23"/>
        </w:rPr>
      </w:pPr>
      <w:r>
        <w:rPr>
          <w:rFonts w:asciiTheme="minorHAnsi" w:hAnsiTheme="minorHAnsi" w:cstheme="minorHAnsi"/>
          <w:i/>
          <w:iCs/>
          <w:color w:val="2F5496" w:themeColor="accent1" w:themeShade="BF"/>
          <w:sz w:val="23"/>
          <w:szCs w:val="23"/>
        </w:rPr>
        <w:lastRenderedPageBreak/>
        <w:t xml:space="preserve">Spot Mowing </w:t>
      </w:r>
      <w:r>
        <w:rPr>
          <w:rFonts w:asciiTheme="minorHAnsi" w:hAnsiTheme="minorHAnsi" w:cstheme="minorHAnsi"/>
          <w:i/>
          <w:iCs/>
          <w:color w:val="auto"/>
          <w:sz w:val="23"/>
          <w:szCs w:val="23"/>
        </w:rPr>
        <w:t>–</w:t>
      </w:r>
      <w:r>
        <w:rPr>
          <w:rFonts w:asciiTheme="minorHAnsi" w:hAnsiTheme="minorHAnsi" w:cstheme="minorHAnsi"/>
          <w:i/>
          <w:iCs/>
          <w:color w:val="2F5496" w:themeColor="accent1" w:themeShade="BF"/>
          <w:sz w:val="23"/>
          <w:szCs w:val="23"/>
        </w:rPr>
        <w:t xml:space="preserve"> </w:t>
      </w:r>
      <w:r>
        <w:t xml:space="preserve">As the native planting is establishing, it may be beneficial to spot mow or weed trim areas with invasive or noxious plants. Spot-mowing should be done at a raised height between 4-6 inches to target invasive plants and to avoid damaging nearby native species. Spot mowing to minimize the abundance and frequency of invasive or noxious weeds can be done every year to increase diversity and functionality of the planting. A list of noxious/invasive weed species that should be addressed can be viewed at the </w:t>
      </w:r>
      <w:hyperlink r:id="rId15" w:anchor=":~:text=State%20Prohibited%20Noxious%20Weeds%20%20%20%20,%20%202012%20%2012%20more%20rows%20" w:history="1">
        <w:r>
          <w:rPr>
            <w:rStyle w:val="Hyperlink"/>
          </w:rPr>
          <w:t>Minnesota Department of Agriculture’s website</w:t>
        </w:r>
      </w:hyperlink>
      <w:r>
        <w:t xml:space="preserve">. </w:t>
      </w:r>
    </w:p>
    <w:p w14:paraId="5F56EF49" w14:textId="7A0A3202" w:rsidR="00B302D6" w:rsidRDefault="00B302D6" w:rsidP="00B302D6">
      <w:pPr>
        <w:pStyle w:val="Default"/>
        <w:spacing w:before="120"/>
        <w:rPr>
          <w:rFonts w:cstheme="minorHAnsi"/>
          <w:color w:val="212121"/>
          <w:sz w:val="22"/>
          <w:szCs w:val="22"/>
          <w:shd w:val="clear" w:color="auto" w:fill="FFFFFF"/>
        </w:rPr>
      </w:pPr>
      <w:r w:rsidRPr="14F428D6">
        <w:rPr>
          <w:rFonts w:asciiTheme="minorHAnsi" w:hAnsiTheme="minorHAnsi" w:cstheme="minorBidi"/>
          <w:i/>
          <w:iCs/>
          <w:color w:val="2F5496" w:themeColor="accent1" w:themeShade="BF"/>
          <w:sz w:val="23"/>
          <w:szCs w:val="23"/>
        </w:rPr>
        <w:t xml:space="preserve">Spot Management of Weeds </w:t>
      </w:r>
      <w:r w:rsidRPr="14F428D6">
        <w:rPr>
          <w:rFonts w:asciiTheme="minorHAnsi" w:hAnsiTheme="minorHAnsi" w:cstheme="minorBidi"/>
          <w:color w:val="auto"/>
          <w:sz w:val="23"/>
          <w:szCs w:val="23"/>
        </w:rPr>
        <w:t xml:space="preserve">– </w:t>
      </w:r>
      <w:bookmarkStart w:id="4" w:name="_Hlk130810319"/>
      <w:r>
        <w:rPr>
          <w:sz w:val="22"/>
          <w:szCs w:val="22"/>
        </w:rPr>
        <w:t xml:space="preserve">Some persistent perennial weeds may require digging, pulling, girdling, smothering or spot treatment with herbicides for sufficient control. Some persistent perennial plants </w:t>
      </w:r>
      <w:r w:rsidR="00CA0033">
        <w:rPr>
          <w:sz w:val="22"/>
          <w:szCs w:val="22"/>
        </w:rPr>
        <w:t>include</w:t>
      </w:r>
      <w:r>
        <w:rPr>
          <w:sz w:val="22"/>
          <w:szCs w:val="22"/>
        </w:rPr>
        <w:t xml:space="preserve"> reed canary grass, smooth brome, quack grass, purple loosestrife, Canada thistle, Kentucky bluegrass, crown vetch, birds-foot trefoil, and woody species, such as box elder, common buckthorn, Siberian elm, and Tartarian honeysuckle. Methods should be conducted carefully during the early establishment phase, to avoid adverse impacts to native plant seedlings. Herbicides should only be used on persistent perennial weeds; most other weeds will be excluded or occur in low frequencies and abundance over time as the native planting matures. </w:t>
      </w:r>
      <w:r w:rsidRPr="14F428D6">
        <w:rPr>
          <w:rFonts w:cstheme="minorBidi"/>
          <w:color w:val="212121"/>
          <w:sz w:val="22"/>
          <w:szCs w:val="22"/>
          <w:shd w:val="clear" w:color="auto" w:fill="FFFFFF"/>
        </w:rPr>
        <w:t xml:space="preserve">Herbicide use should be species specific, sprayed in a discriminating and targeted way (minimizing non-target organisms), and applied according to rates specified on the label. </w:t>
      </w:r>
      <w:r w:rsidRPr="00C62524">
        <w:t xml:space="preserve">A licensed applicator </w:t>
      </w:r>
      <w:r>
        <w:t>may be needed</w:t>
      </w:r>
      <w:r w:rsidRPr="00C62524">
        <w:t xml:space="preserve"> to apply herbicide</w:t>
      </w:r>
      <w:r>
        <w:t>(s)</w:t>
      </w:r>
      <w:r w:rsidRPr="00C62524">
        <w:t>.</w:t>
      </w:r>
      <w:r>
        <w:t xml:space="preserve"> </w:t>
      </w:r>
      <w:r w:rsidRPr="14F428D6">
        <w:rPr>
          <w:rFonts w:cstheme="minorBidi"/>
          <w:color w:val="212121"/>
          <w:sz w:val="22"/>
          <w:szCs w:val="22"/>
          <w:shd w:val="clear" w:color="auto" w:fill="FFFFFF"/>
        </w:rPr>
        <w:t>All pesticides should be selected and applied in a manner that minimizes risks to human health, beneficial and non</w:t>
      </w:r>
      <w:r>
        <w:rPr>
          <w:rFonts w:cstheme="minorBidi"/>
          <w:color w:val="212121"/>
          <w:sz w:val="22"/>
          <w:szCs w:val="22"/>
          <w:shd w:val="clear" w:color="auto" w:fill="FFFFFF"/>
        </w:rPr>
        <w:t>-</w:t>
      </w:r>
      <w:r w:rsidRPr="14F428D6">
        <w:rPr>
          <w:rFonts w:cstheme="minorBidi"/>
          <w:color w:val="212121"/>
          <w:sz w:val="22"/>
          <w:szCs w:val="22"/>
          <w:shd w:val="clear" w:color="auto" w:fill="FFFFFF"/>
        </w:rPr>
        <w:t>target organisms, and the environment.</w:t>
      </w:r>
      <w:r w:rsidRPr="00E36E17">
        <w:t xml:space="preserve"> </w:t>
      </w:r>
      <w:r w:rsidRPr="00C62524">
        <w:t>Plantings that include both grasses and forbs s</w:t>
      </w:r>
      <w:r>
        <w:t xml:space="preserve">hould never be broadcast-sprayed. </w:t>
      </w:r>
      <w:r w:rsidRPr="14F428D6">
        <w:rPr>
          <w:rFonts w:cstheme="minorBidi"/>
          <w:color w:val="212121"/>
          <w:sz w:val="22"/>
          <w:szCs w:val="22"/>
          <w:shd w:val="clear" w:color="auto" w:fill="FFFFFF"/>
        </w:rPr>
        <w:t xml:space="preserve"> </w:t>
      </w:r>
      <w:r w:rsidRPr="14F428D6">
        <w:rPr>
          <w:color w:val="000000" w:themeColor="text1"/>
          <w:sz w:val="22"/>
          <w:szCs w:val="22"/>
        </w:rPr>
        <w:t>Mini</w:t>
      </w:r>
      <w:r>
        <w:rPr>
          <w:color w:val="000000" w:themeColor="text1"/>
          <w:sz w:val="22"/>
          <w:szCs w:val="22"/>
        </w:rPr>
        <w:t>mal</w:t>
      </w:r>
      <w:r w:rsidRPr="14F428D6">
        <w:rPr>
          <w:color w:val="000000" w:themeColor="text1"/>
          <w:sz w:val="22"/>
          <w:szCs w:val="22"/>
        </w:rPr>
        <w:t xml:space="preserve"> herbicide</w:t>
      </w:r>
      <w:r>
        <w:rPr>
          <w:color w:val="000000" w:themeColor="text1"/>
          <w:sz w:val="22"/>
          <w:szCs w:val="22"/>
        </w:rPr>
        <w:t xml:space="preserve"> use is recommended the first year of planting. Targeted spot Spraying can begin in</w:t>
      </w:r>
      <w:r w:rsidRPr="14F428D6">
        <w:rPr>
          <w:color w:val="000000" w:themeColor="text1"/>
          <w:sz w:val="22"/>
          <w:szCs w:val="22"/>
        </w:rPr>
        <w:t xml:space="preserve"> year </w:t>
      </w:r>
      <w:r w:rsidR="0085173B" w:rsidRPr="14F428D6">
        <w:rPr>
          <w:color w:val="000000" w:themeColor="text1"/>
          <w:sz w:val="22"/>
          <w:szCs w:val="22"/>
        </w:rPr>
        <w:t>2</w:t>
      </w:r>
      <w:r w:rsidR="0085173B">
        <w:rPr>
          <w:color w:val="000000" w:themeColor="text1"/>
          <w:sz w:val="22"/>
          <w:szCs w:val="22"/>
        </w:rPr>
        <w:t xml:space="preserve"> unless</w:t>
      </w:r>
      <w:r w:rsidRPr="14F428D6">
        <w:rPr>
          <w:color w:val="000000" w:themeColor="text1"/>
          <w:sz w:val="22"/>
          <w:szCs w:val="22"/>
        </w:rPr>
        <w:t xml:space="preserve"> significant problem weeds show up.</w:t>
      </w:r>
      <w:r>
        <w:rPr>
          <w:rFonts w:cstheme="minorHAnsi"/>
          <w:color w:val="212121"/>
          <w:sz w:val="22"/>
          <w:szCs w:val="22"/>
          <w:shd w:val="clear" w:color="auto" w:fill="FFFFFF"/>
        </w:rPr>
        <w:softHyphen/>
      </w:r>
      <w:r>
        <w:rPr>
          <w:rFonts w:cstheme="minorHAnsi"/>
          <w:color w:val="212121"/>
          <w:sz w:val="22"/>
          <w:szCs w:val="22"/>
          <w:shd w:val="clear" w:color="auto" w:fill="FFFFFF"/>
        </w:rPr>
        <w:softHyphen/>
      </w:r>
      <w:r>
        <w:rPr>
          <w:rFonts w:cstheme="minorHAnsi"/>
          <w:color w:val="212121"/>
          <w:sz w:val="22"/>
          <w:szCs w:val="22"/>
          <w:shd w:val="clear" w:color="auto" w:fill="FFFFFF"/>
        </w:rPr>
        <w:softHyphen/>
      </w:r>
      <w:bookmarkEnd w:id="4"/>
    </w:p>
    <w:p w14:paraId="2526A8D3" w14:textId="77777777" w:rsidR="00B302D6" w:rsidRDefault="00B302D6" w:rsidP="00B302D6">
      <w:pPr>
        <w:pStyle w:val="Default"/>
        <w:spacing w:before="120"/>
        <w:rPr>
          <w:rFonts w:cstheme="minorHAnsi"/>
          <w:color w:val="212121"/>
          <w:sz w:val="22"/>
          <w:szCs w:val="22"/>
          <w:shd w:val="clear" w:color="auto" w:fill="FFFFFF"/>
        </w:rPr>
      </w:pPr>
    </w:p>
    <w:p w14:paraId="5727704E" w14:textId="77777777" w:rsidR="00B302D6" w:rsidRPr="00C62524" w:rsidRDefault="00CB3516" w:rsidP="00B302D6">
      <w:pPr>
        <w:rPr>
          <w:szCs w:val="24"/>
        </w:rPr>
      </w:pPr>
      <w:hyperlink r:id="rId16" w:history="1">
        <w:r w:rsidR="00B302D6" w:rsidRPr="007E1F7C">
          <w:rPr>
            <w:rStyle w:val="Hyperlink"/>
            <w:szCs w:val="24"/>
          </w:rPr>
          <w:t>The Midwest Invasive Plant Control Database</w:t>
        </w:r>
      </w:hyperlink>
      <w:r w:rsidR="00B302D6" w:rsidRPr="00C62524">
        <w:t xml:space="preserve"> provides a compilation of control methods for many common invasive plants.</w:t>
      </w:r>
      <w:r w:rsidR="00B302D6">
        <w:t xml:space="preserve"> Some noxious or invasive weeds do not respond well to spraying so managers are encouraged to consider the method that will do the least amount of harm to overall planting health.</w:t>
      </w:r>
      <w:r w:rsidR="00B302D6" w:rsidRPr="003A24B1">
        <w:rPr>
          <w:color w:val="000000" w:themeColor="text1"/>
        </w:rPr>
        <w:t xml:space="preserve"> </w:t>
      </w:r>
    </w:p>
    <w:p w14:paraId="1F0C4F62" w14:textId="77777777" w:rsidR="00B302D6" w:rsidRDefault="00B302D6" w:rsidP="00B302D6">
      <w:r>
        <w:t>T</w:t>
      </w:r>
      <w:r w:rsidRPr="00C62524">
        <w:t xml:space="preserve">o prevent inadvertent </w:t>
      </w:r>
      <w:r>
        <w:t xml:space="preserve">aerial </w:t>
      </w:r>
      <w:r w:rsidRPr="00C62524">
        <w:t>spraying of the prairie, it may be advantageous to be placed o</w:t>
      </w:r>
      <w:r>
        <w:t xml:space="preserve">n the do not spray list at the local farm co-op. </w:t>
      </w:r>
      <w:r w:rsidRPr="00C62524">
        <w:t>This will help prevent d</w:t>
      </w:r>
      <w:r>
        <w:t>amage to your prairie planting.</w:t>
      </w:r>
    </w:p>
    <w:p w14:paraId="364E1D6C" w14:textId="77777777" w:rsidR="00B302D6" w:rsidRDefault="00B302D6" w:rsidP="00B302D6"/>
    <w:p w14:paraId="6DCB8243" w14:textId="77777777" w:rsidR="00B302D6" w:rsidRDefault="00B302D6" w:rsidP="00B302D6">
      <w:pPr>
        <w:spacing w:before="120"/>
        <w:rPr>
          <w:b/>
          <w:bCs/>
        </w:rPr>
      </w:pPr>
      <w:r>
        <w:rPr>
          <w:b/>
          <w:bCs/>
        </w:rPr>
        <w:t>What to Expect in Year 1</w:t>
      </w:r>
    </w:p>
    <w:p w14:paraId="33512FDD" w14:textId="77777777" w:rsidR="00B302D6" w:rsidRDefault="00B302D6" w:rsidP="00B302D6">
      <w:r>
        <w:t xml:space="preserve">During the first year of establishment, many perennial native grasses, </w:t>
      </w:r>
      <w:proofErr w:type="gramStart"/>
      <w:r>
        <w:t>sedges</w:t>
      </w:r>
      <w:proofErr w:type="gramEnd"/>
      <w:r>
        <w:t xml:space="preserve"> and flowers will remain about one to three inches tall depending on site conditions. Most of their growth occurs below ground as they develop extensive root systems. Annual species will flower and grow to maturity. Mowing annual agricultural weeds (foxtail, barnyard grass, ragweed etc.) reduces competition, allowing native plant seedlings to receive sufficient water and sunlight. The planting may have a somewhat weedy appearance in the first year (see establishment mowing paragraph above). </w:t>
      </w:r>
    </w:p>
    <w:p w14:paraId="4CA5FDF0" w14:textId="77777777" w:rsidR="00B302D6" w:rsidRDefault="00B302D6" w:rsidP="00B302D6">
      <w:r>
        <w:t>(IMAGE)</w:t>
      </w:r>
    </w:p>
    <w:p w14:paraId="170BB310" w14:textId="77777777" w:rsidR="00B302D6" w:rsidRDefault="00B302D6" w:rsidP="00B302D6">
      <w:pPr>
        <w:spacing w:before="120"/>
        <w:rPr>
          <w:b/>
          <w:bCs/>
        </w:rPr>
      </w:pPr>
      <w:r>
        <w:rPr>
          <w:b/>
          <w:bCs/>
        </w:rPr>
        <w:t>What to Expect in Year 2</w:t>
      </w:r>
    </w:p>
    <w:p w14:paraId="36E11C3E" w14:textId="77777777" w:rsidR="00B302D6" w:rsidRDefault="00B302D6" w:rsidP="00B302D6">
      <w:r>
        <w:t xml:space="preserve">During year two, some of the perennial native grasses, sedges and flowers may reach their mature height and some may even flower. Depending on when the seeding occurred (spring or dormant), there may be many first-year native seedlings germinating alongside established native plants. Mowing or grazing may still play a key role in managing weeds and promoting native seedling growth. </w:t>
      </w:r>
    </w:p>
    <w:p w14:paraId="75054F89" w14:textId="77777777" w:rsidR="00B302D6" w:rsidRDefault="00B302D6" w:rsidP="00B302D6">
      <w:r>
        <w:t>(IMAGE)</w:t>
      </w:r>
    </w:p>
    <w:p w14:paraId="67C932E1" w14:textId="77777777" w:rsidR="00B302D6" w:rsidRDefault="00B302D6" w:rsidP="00B302D6">
      <w:pPr>
        <w:spacing w:before="120"/>
        <w:rPr>
          <w:b/>
          <w:bCs/>
        </w:rPr>
      </w:pPr>
      <w:r>
        <w:rPr>
          <w:b/>
          <w:bCs/>
        </w:rPr>
        <w:t>What to Expect in Year 3 and Beyond</w:t>
      </w:r>
    </w:p>
    <w:p w14:paraId="2CB1C22C" w14:textId="77777777" w:rsidR="00B302D6" w:rsidRDefault="00B302D6" w:rsidP="00B302D6">
      <w:r>
        <w:t xml:space="preserve">By the end of year three many of the native plants should start flowering. There may be some long-lived species that are slow to establish and may not show up for several years. </w:t>
      </w:r>
    </w:p>
    <w:p w14:paraId="3A72E30F" w14:textId="77777777" w:rsidR="00B302D6" w:rsidRDefault="00B302D6" w:rsidP="00B302D6">
      <w:pPr>
        <w:spacing w:before="120"/>
        <w:rPr>
          <w:b/>
          <w:bCs/>
        </w:rPr>
      </w:pPr>
      <w:r>
        <w:rPr>
          <w:b/>
          <w:bCs/>
        </w:rPr>
        <w:lastRenderedPageBreak/>
        <w:t>Problem Solving</w:t>
      </w:r>
    </w:p>
    <w:p w14:paraId="647D7E74" w14:textId="6C07F999" w:rsidR="00B302D6" w:rsidRDefault="00B302D6" w:rsidP="00B302D6">
      <w:pPr>
        <w:spacing w:before="120"/>
      </w:pPr>
      <w:r>
        <w:rPr>
          <w:rStyle w:val="IntenseEmphasis"/>
          <w:color w:val="2F5496" w:themeColor="accent1" w:themeShade="BF"/>
        </w:rPr>
        <w:t>Poor Establishment After Year 1</w:t>
      </w:r>
      <w:r>
        <w:rPr>
          <w:color w:val="2F5496" w:themeColor="accent1" w:themeShade="BF"/>
        </w:rPr>
        <w:t xml:space="preserve"> </w:t>
      </w:r>
      <w:r>
        <w:t xml:space="preserve">– It is often difficult to determine if seeding is successful during the first year, as establishment may vary depending on weather conditions, site preparation, and site conditions.  Species germinate and establish at different </w:t>
      </w:r>
      <w:r w:rsidR="0085173B">
        <w:t>rates,</w:t>
      </w:r>
      <w:r>
        <w:t xml:space="preserve"> and some may be slow to establish. Seed establishment is often delayed during drought conditions. Corrective actions should generally not occur until year 2. Looks for species such as Black-Eyed Susan seedlings in year 1 for confirmation the seeding was a success.</w:t>
      </w:r>
    </w:p>
    <w:p w14:paraId="3D691756" w14:textId="77777777" w:rsidR="00B302D6" w:rsidRDefault="00B302D6" w:rsidP="00B302D6">
      <w:pPr>
        <w:spacing w:before="120"/>
      </w:pPr>
      <w:r>
        <w:rPr>
          <w:rStyle w:val="IntenseEmphasis"/>
          <w:color w:val="2F5496" w:themeColor="accent1" w:themeShade="BF"/>
        </w:rPr>
        <w:t>Poor Establishment After Year 2</w:t>
      </w:r>
      <w:r>
        <w:rPr>
          <w:color w:val="2F5496" w:themeColor="accent1" w:themeShade="BF"/>
        </w:rPr>
        <w:t xml:space="preserve"> </w:t>
      </w:r>
      <w:r>
        <w:t xml:space="preserve">– If native plant seedlings are not establishing about every one to two feet it may be necessary to </w:t>
      </w:r>
      <w:proofErr w:type="spellStart"/>
      <w:r>
        <w:t>interseed</w:t>
      </w:r>
      <w:proofErr w:type="spellEnd"/>
      <w:r>
        <w:t xml:space="preserve"> the planting. Monitor the site during the growing season to determine which species are present, and which species may need to be supplemented. </w:t>
      </w:r>
      <w:proofErr w:type="spellStart"/>
      <w:r>
        <w:t>Interseeding</w:t>
      </w:r>
      <w:proofErr w:type="spellEnd"/>
      <w:r>
        <w:t xml:space="preserve"> should be conducted after the second growing season. </w:t>
      </w:r>
    </w:p>
    <w:p w14:paraId="03B10700" w14:textId="77777777" w:rsidR="00B302D6" w:rsidRDefault="00B302D6" w:rsidP="00B302D6">
      <w:pPr>
        <w:spacing w:before="120"/>
      </w:pPr>
      <w:r>
        <w:rPr>
          <w:rStyle w:val="IntenseQuoteChar"/>
          <w:color w:val="2F5496" w:themeColor="accent1" w:themeShade="BF"/>
        </w:rPr>
        <w:t>High Annual and Biennial Weed Competition</w:t>
      </w:r>
      <w:r>
        <w:rPr>
          <w:color w:val="2F5496" w:themeColor="accent1" w:themeShade="BF"/>
        </w:rPr>
        <w:t xml:space="preserve"> </w:t>
      </w:r>
      <w:r>
        <w:t xml:space="preserve">– Annual and biennial weed competition is generally not a concern as they are short lived and frequent mowing in the first year of establishment reduces their contributions to the seed bank. Even without mowing, perennial native plants tend to outcompete annual and biennial weeds as the planting matures.  </w:t>
      </w:r>
    </w:p>
    <w:p w14:paraId="39664CCA" w14:textId="77777777" w:rsidR="00B302D6" w:rsidRDefault="00B302D6" w:rsidP="00B302D6">
      <w:pPr>
        <w:spacing w:before="120"/>
      </w:pPr>
      <w:r>
        <w:rPr>
          <w:rStyle w:val="IntenseEmphasis"/>
          <w:color w:val="2F5496" w:themeColor="accent1" w:themeShade="BF"/>
        </w:rPr>
        <w:t>High Perennial Weed Competition</w:t>
      </w:r>
      <w:r>
        <w:rPr>
          <w:color w:val="2F5496" w:themeColor="accent1" w:themeShade="BF"/>
        </w:rPr>
        <w:t xml:space="preserve"> </w:t>
      </w:r>
      <w:r>
        <w:t xml:space="preserve">– Dense establishment of perennial weed species can be a problem as they can prevent the establishment of native species. Prescribed burning, prescribed grazing, and/or spot herbicide application may be needed to manage perennial weeds.  </w:t>
      </w:r>
    </w:p>
    <w:p w14:paraId="249CA74B" w14:textId="2F89E285" w:rsidR="00B302D6" w:rsidRDefault="00B302D6" w:rsidP="00B302D6">
      <w:pPr>
        <w:spacing w:before="120"/>
      </w:pPr>
      <w:r>
        <w:rPr>
          <w:rStyle w:val="IntenseEmphasis"/>
          <w:color w:val="2F5496" w:themeColor="accent1" w:themeShade="BF"/>
        </w:rPr>
        <w:t>Low Forb Diversity After Year 3</w:t>
      </w:r>
      <w:r>
        <w:rPr>
          <w:color w:val="2F5496" w:themeColor="accent1" w:themeShade="BF"/>
        </w:rPr>
        <w:t xml:space="preserve"> </w:t>
      </w:r>
      <w:r>
        <w:t xml:space="preserve">– If grasses and sedges are successfully establishing but there is a lack of forbs, it is recommended to inter-seed additional forbs in late fall or after spring mowing or </w:t>
      </w:r>
      <w:r w:rsidR="0085173B">
        <w:t>grazing.</w:t>
      </w:r>
      <w:r>
        <w:t xml:space="preserve"> See the </w:t>
      </w:r>
      <w:hyperlink r:id="rId17" w:history="1">
        <w:r>
          <w:rPr>
            <w:rStyle w:val="Hyperlink"/>
            <w:color w:val="2F5496" w:themeColor="accent1" w:themeShade="BF"/>
          </w:rPr>
          <w:t>Xerces Society guide</w:t>
        </w:r>
      </w:hyperlink>
      <w:r>
        <w:t xml:space="preserve"> for additional information and guidance about inter-seeding wildflowers.</w:t>
      </w:r>
    </w:p>
    <w:p w14:paraId="28CAADC8" w14:textId="77777777" w:rsidR="00B302D6" w:rsidRDefault="00B302D6" w:rsidP="00B302D6"/>
    <w:p w14:paraId="55DD389F" w14:textId="77777777" w:rsidR="00830F5A" w:rsidRDefault="00830F5A" w:rsidP="00B302D6"/>
    <w:sectPr w:rsidR="0083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A"/>
    <w:rsid w:val="0013359A"/>
    <w:rsid w:val="002061A0"/>
    <w:rsid w:val="00253D8C"/>
    <w:rsid w:val="00343862"/>
    <w:rsid w:val="003D7F79"/>
    <w:rsid w:val="003E1E91"/>
    <w:rsid w:val="00431A61"/>
    <w:rsid w:val="004A35FC"/>
    <w:rsid w:val="006A06D9"/>
    <w:rsid w:val="007760DC"/>
    <w:rsid w:val="007F77F2"/>
    <w:rsid w:val="00830F5A"/>
    <w:rsid w:val="0085173B"/>
    <w:rsid w:val="00876979"/>
    <w:rsid w:val="008B1449"/>
    <w:rsid w:val="00961D6C"/>
    <w:rsid w:val="0098390F"/>
    <w:rsid w:val="00A77977"/>
    <w:rsid w:val="00AC180D"/>
    <w:rsid w:val="00B302D6"/>
    <w:rsid w:val="00B748DC"/>
    <w:rsid w:val="00CA0033"/>
    <w:rsid w:val="00CB3516"/>
    <w:rsid w:val="00F566BA"/>
    <w:rsid w:val="00F667E5"/>
    <w:rsid w:val="00FE42A6"/>
    <w:rsid w:val="07E88270"/>
    <w:rsid w:val="0A0D4F66"/>
    <w:rsid w:val="11F2FA0B"/>
    <w:rsid w:val="15FBE845"/>
    <w:rsid w:val="1ADF509B"/>
    <w:rsid w:val="1E7CB482"/>
    <w:rsid w:val="4D27E306"/>
    <w:rsid w:val="59635D6C"/>
    <w:rsid w:val="5D41AF54"/>
    <w:rsid w:val="634902E5"/>
    <w:rsid w:val="63BF302F"/>
    <w:rsid w:val="6A0869FE"/>
    <w:rsid w:val="6CE6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3EF"/>
  <w15:chartTrackingRefBased/>
  <w15:docId w15:val="{8C16655C-ADCB-4EEC-AFAC-553C9E7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F5A"/>
    <w:rPr>
      <w:color w:val="0563C1" w:themeColor="hyperlink"/>
      <w:u w:val="single"/>
    </w:rPr>
  </w:style>
  <w:style w:type="paragraph" w:styleId="IntenseQuote">
    <w:name w:val="Intense Quote"/>
    <w:basedOn w:val="Normal"/>
    <w:next w:val="Normal"/>
    <w:link w:val="IntenseQuoteChar"/>
    <w:uiPriority w:val="30"/>
    <w:qFormat/>
    <w:rsid w:val="00830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F5A"/>
    <w:rPr>
      <w:rFonts w:ascii="Calibri" w:hAnsi="Calibri" w:cs="Calibri"/>
      <w:i/>
      <w:iCs/>
      <w:color w:val="4472C4" w:themeColor="accent1"/>
    </w:rPr>
  </w:style>
  <w:style w:type="paragraph" w:customStyle="1" w:styleId="Default">
    <w:name w:val="Default"/>
    <w:rsid w:val="00830F5A"/>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830F5A"/>
    <w:rPr>
      <w:i/>
      <w:iCs/>
      <w:color w:val="4472C4" w:themeColor="accent1"/>
    </w:rPr>
  </w:style>
  <w:style w:type="paragraph" w:styleId="Revision">
    <w:name w:val="Revision"/>
    <w:hidden/>
    <w:uiPriority w:val="99"/>
    <w:semiHidden/>
    <w:rsid w:val="0085173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0593">
      <w:bodyDiv w:val="1"/>
      <w:marLeft w:val="0"/>
      <w:marRight w:val="0"/>
      <w:marTop w:val="0"/>
      <w:marBottom w:val="0"/>
      <w:divBdr>
        <w:top w:val="none" w:sz="0" w:space="0" w:color="auto"/>
        <w:left w:val="none" w:sz="0" w:space="0" w:color="auto"/>
        <w:bottom w:val="none" w:sz="0" w:space="0" w:color="auto"/>
        <w:right w:val="none" w:sz="0" w:space="0" w:color="auto"/>
      </w:divBdr>
    </w:div>
    <w:div w:id="341006131">
      <w:bodyDiv w:val="1"/>
      <w:marLeft w:val="0"/>
      <w:marRight w:val="0"/>
      <w:marTop w:val="0"/>
      <w:marBottom w:val="0"/>
      <w:divBdr>
        <w:top w:val="none" w:sz="0" w:space="0" w:color="auto"/>
        <w:left w:val="none" w:sz="0" w:space="0" w:color="auto"/>
        <w:bottom w:val="none" w:sz="0" w:space="0" w:color="auto"/>
        <w:right w:val="none" w:sz="0" w:space="0" w:color="auto"/>
      </w:divBdr>
    </w:div>
    <w:div w:id="409693655">
      <w:bodyDiv w:val="1"/>
      <w:marLeft w:val="0"/>
      <w:marRight w:val="0"/>
      <w:marTop w:val="0"/>
      <w:marBottom w:val="0"/>
      <w:divBdr>
        <w:top w:val="none" w:sz="0" w:space="0" w:color="auto"/>
        <w:left w:val="none" w:sz="0" w:space="0" w:color="auto"/>
        <w:bottom w:val="none" w:sz="0" w:space="0" w:color="auto"/>
        <w:right w:val="none" w:sz="0" w:space="0" w:color="auto"/>
      </w:divBdr>
    </w:div>
    <w:div w:id="19733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wsr.state.mn.us/sites/default/files/2021-02/seedmix-substitu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bwsr.state.mn.us/seed-mixes" TargetMode="External"/><Relationship Id="rId17" Type="http://schemas.openxmlformats.org/officeDocument/2006/relationships/hyperlink" Target="https://xerces.org/publications/guidelines/interseeding-wildflowers-to-diversify-grasslands-for-pollinators" TargetMode="External"/><Relationship Id="rId2" Type="http://schemas.openxmlformats.org/officeDocument/2006/relationships/customXml" Target="../customXml/item2.xml"/><Relationship Id="rId16" Type="http://schemas.openxmlformats.org/officeDocument/2006/relationships/hyperlink" Target="https://mipncontroldatabase.wisc.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www.mda.state.mn.us/plants-insects/minnesota-noxious-weed-list"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xerces.org/publications/guidelines/organic-site-preparation-for-wildflower-establis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6B715-26C9-40C5-9D81-3BA11162B799}">
  <ds:schemaRefs>
    <ds:schemaRef ds:uri="http://schemas.microsoft.com/sharepoint/v3/contenttype/forms"/>
  </ds:schemaRefs>
</ds:datastoreItem>
</file>

<file path=customXml/itemProps2.xml><?xml version="1.0" encoding="utf-8"?>
<ds:datastoreItem xmlns:ds="http://schemas.openxmlformats.org/officeDocument/2006/customXml" ds:itemID="{682A17C9-45EC-45D3-8484-F2388D63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4BD59-545A-4A81-B9DA-498F0C2DF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2654</Words>
  <Characters>15129</Characters>
  <Application>Microsoft Office Word</Application>
  <DocSecurity>0</DocSecurity>
  <Lines>126</Lines>
  <Paragraphs>35</Paragraphs>
  <ScaleCrop>false</ScaleCrop>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Rost, Cecelia (She/Her/Hers) (BWSR)</cp:lastModifiedBy>
  <cp:revision>9</cp:revision>
  <dcterms:created xsi:type="dcterms:W3CDTF">2023-04-18T19:26:00Z</dcterms:created>
  <dcterms:modified xsi:type="dcterms:W3CDTF">2024-04-24T14:37:00Z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